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40" w:rsidRPr="009A1D40" w:rsidRDefault="009A1D40" w:rsidP="009A1D40">
      <w:pPr>
        <w:spacing w:before="100" w:beforeAutospacing="1" w:after="100" w:afterAutospacing="1" w:line="240" w:lineRule="auto"/>
        <w:outlineLvl w:val="1"/>
        <w:rPr>
          <w:rFonts w:ascii="Open Sans" w:eastAsia="Times New Roman" w:hAnsi="Open Sans" w:cs="Times New Roman"/>
          <w:b/>
          <w:bCs/>
          <w:color w:val="1B1B1B"/>
          <w:sz w:val="36"/>
          <w:szCs w:val="36"/>
          <w:lang w:eastAsia="pl-PL"/>
        </w:rPr>
      </w:pPr>
      <w:proofErr w:type="gramStart"/>
      <w:r w:rsidRPr="009A1D40">
        <w:rPr>
          <w:rFonts w:ascii="Open Sans" w:eastAsia="Times New Roman" w:hAnsi="Open Sans" w:cs="Times New Roman"/>
          <w:b/>
          <w:bCs/>
          <w:color w:val="1B1B1B"/>
          <w:sz w:val="36"/>
          <w:szCs w:val="36"/>
          <w:lang w:eastAsia="pl-PL"/>
        </w:rPr>
        <w:t>zmiany</w:t>
      </w:r>
      <w:proofErr w:type="gramEnd"/>
      <w:r w:rsidRPr="009A1D40">
        <w:rPr>
          <w:rFonts w:ascii="Open Sans" w:eastAsia="Times New Roman" w:hAnsi="Open Sans" w:cs="Times New Roman"/>
          <w:b/>
          <w:bCs/>
          <w:color w:val="1B1B1B"/>
          <w:sz w:val="36"/>
          <w:szCs w:val="36"/>
          <w:lang w:eastAsia="pl-PL"/>
        </w:rPr>
        <w:t xml:space="preserve"> w podatkach od 1 stycznia 2020 r.</w:t>
      </w:r>
    </w:p>
    <w:p w:rsidR="009A1D40" w:rsidRPr="009A1D40" w:rsidRDefault="009A1D40" w:rsidP="009A1D40">
      <w:pPr>
        <w:spacing w:before="100" w:beforeAutospacing="1" w:after="100" w:afterAutospacing="1"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30.12.2019</w:t>
      </w:r>
    </w:p>
    <w:p w:rsidR="009A1D40" w:rsidRPr="009A1D40" w:rsidRDefault="009A1D40" w:rsidP="009A1D40">
      <w:pPr>
        <w:numPr>
          <w:ilvl w:val="0"/>
          <w:numId w:val="3"/>
        </w:numPr>
        <w:spacing w:before="100" w:beforeAutospacing="1" w:after="100" w:afterAutospacing="1"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b/>
          <w:bCs/>
          <w:color w:val="1B1B1B"/>
          <w:sz w:val="24"/>
          <w:szCs w:val="24"/>
          <w:lang w:eastAsia="pl-PL"/>
        </w:rPr>
        <w:t xml:space="preserve">Ułatwienia w zapłacie podatków do urzędu skarbowego na indywidualny rachunek podatkowy, pomoc w likwidacji opóźnień w płatnościach dla firm dzięki tzw. uldze za złe długi w PIT i </w:t>
      </w:r>
      <w:proofErr w:type="spellStart"/>
      <w:r w:rsidRPr="009A1D40">
        <w:rPr>
          <w:rFonts w:ascii="Open Sans" w:eastAsia="Times New Roman" w:hAnsi="Open Sans" w:cs="Times New Roman"/>
          <w:b/>
          <w:bCs/>
          <w:color w:val="1B1B1B"/>
          <w:sz w:val="24"/>
          <w:szCs w:val="24"/>
          <w:lang w:eastAsia="pl-PL"/>
        </w:rPr>
        <w:t>CIT</w:t>
      </w:r>
      <w:proofErr w:type="spellEnd"/>
      <w:r w:rsidRPr="009A1D40">
        <w:rPr>
          <w:rFonts w:ascii="Open Sans" w:eastAsia="Times New Roman" w:hAnsi="Open Sans" w:cs="Times New Roman"/>
          <w:b/>
          <w:bCs/>
          <w:color w:val="1B1B1B"/>
          <w:sz w:val="24"/>
          <w:szCs w:val="24"/>
          <w:lang w:eastAsia="pl-PL"/>
        </w:rPr>
        <w:t xml:space="preserve"> czy obowiązek zapłaty faktury o wartości powyżej 15 tys. zł na rachunek zamieszczony w Wykazie podatników VAT – to niektóre zmiany, które wejdą w życie od 1 stycznia 2020 r.</w:t>
      </w:r>
    </w:p>
    <w:p w:rsidR="009A1D40" w:rsidRPr="009A1D40" w:rsidRDefault="009A1D40" w:rsidP="009A1D40">
      <w:pPr>
        <w:numPr>
          <w:ilvl w:val="0"/>
          <w:numId w:val="3"/>
        </w:numPr>
        <w:spacing w:before="100" w:beforeAutospacing="1" w:after="100" w:afterAutospacing="1"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b/>
          <w:bCs/>
          <w:color w:val="1B1B1B"/>
          <w:sz w:val="24"/>
          <w:szCs w:val="24"/>
          <w:lang w:eastAsia="pl-PL"/>
        </w:rPr>
        <w:t xml:space="preserve">Przypominamy o najważniejszych rozwiązaniach, które od nowego roku będą dotyczyć  podatników PIT, </w:t>
      </w:r>
      <w:proofErr w:type="spellStart"/>
      <w:r w:rsidRPr="009A1D40">
        <w:rPr>
          <w:rFonts w:ascii="Open Sans" w:eastAsia="Times New Roman" w:hAnsi="Open Sans" w:cs="Times New Roman"/>
          <w:b/>
          <w:bCs/>
          <w:color w:val="1B1B1B"/>
          <w:sz w:val="24"/>
          <w:szCs w:val="24"/>
          <w:lang w:eastAsia="pl-PL"/>
        </w:rPr>
        <w:t>CIT</w:t>
      </w:r>
      <w:proofErr w:type="spellEnd"/>
      <w:r w:rsidRPr="009A1D40">
        <w:rPr>
          <w:rFonts w:ascii="Open Sans" w:eastAsia="Times New Roman" w:hAnsi="Open Sans" w:cs="Times New Roman"/>
          <w:b/>
          <w:bCs/>
          <w:color w:val="1B1B1B"/>
          <w:sz w:val="24"/>
          <w:szCs w:val="24"/>
          <w:lang w:eastAsia="pl-PL"/>
        </w:rPr>
        <w:t xml:space="preserve"> i VAT.  </w:t>
      </w:r>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proofErr w:type="spellStart"/>
      <w:r w:rsidRPr="009A1D40">
        <w:rPr>
          <w:rFonts w:ascii="Open Sans" w:eastAsia="Times New Roman" w:hAnsi="Open Sans" w:cs="Times New Roman"/>
          <w:b/>
          <w:bCs/>
          <w:color w:val="1B1B1B"/>
          <w:sz w:val="27"/>
          <w:szCs w:val="27"/>
          <w:lang w:eastAsia="pl-PL"/>
        </w:rPr>
        <w:t>Mikrorachunki</w:t>
      </w:r>
      <w:proofErr w:type="spellEnd"/>
      <w:r w:rsidRPr="009A1D40">
        <w:rPr>
          <w:rFonts w:ascii="Open Sans" w:eastAsia="Times New Roman" w:hAnsi="Open Sans" w:cs="Times New Roman"/>
          <w:b/>
          <w:bCs/>
          <w:color w:val="1B1B1B"/>
          <w:sz w:val="27"/>
          <w:szCs w:val="27"/>
          <w:lang w:eastAsia="pl-PL"/>
        </w:rPr>
        <w:t xml:space="preserve"> - łatwiejsza zapłata PIT, </w:t>
      </w:r>
      <w:proofErr w:type="spellStart"/>
      <w:r w:rsidRPr="009A1D40">
        <w:rPr>
          <w:rFonts w:ascii="Open Sans" w:eastAsia="Times New Roman" w:hAnsi="Open Sans" w:cs="Times New Roman"/>
          <w:b/>
          <w:bCs/>
          <w:color w:val="1B1B1B"/>
          <w:sz w:val="27"/>
          <w:szCs w:val="27"/>
          <w:lang w:eastAsia="pl-PL"/>
        </w:rPr>
        <w:t>CIT</w:t>
      </w:r>
      <w:proofErr w:type="spellEnd"/>
      <w:r w:rsidRPr="009A1D40">
        <w:rPr>
          <w:rFonts w:ascii="Open Sans" w:eastAsia="Times New Roman" w:hAnsi="Open Sans" w:cs="Times New Roman"/>
          <w:b/>
          <w:bCs/>
          <w:color w:val="1B1B1B"/>
          <w:sz w:val="27"/>
          <w:szCs w:val="27"/>
          <w:lang w:eastAsia="pl-PL"/>
        </w:rPr>
        <w:t xml:space="preserve"> i VAT do urzędu skarbowego</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Kluczowe podatki, tj. PIT,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i VAT od 1 stycznia 2020 r. należy wpłacać do urzędu skarbowego wyłącznie na indywidualny rachunek podatkowy, tzw. </w:t>
      </w:r>
      <w:proofErr w:type="spellStart"/>
      <w:r w:rsidRPr="009A1D40">
        <w:rPr>
          <w:rFonts w:ascii="Open Sans" w:eastAsia="Times New Roman" w:hAnsi="Open Sans" w:cs="Times New Roman"/>
          <w:color w:val="1B1B1B"/>
          <w:sz w:val="24"/>
          <w:szCs w:val="24"/>
          <w:lang w:eastAsia="pl-PL"/>
        </w:rPr>
        <w:t>mikrorachunek</w:t>
      </w:r>
      <w:proofErr w:type="spellEnd"/>
      <w:r w:rsidRPr="009A1D40">
        <w:rPr>
          <w:rFonts w:ascii="Open Sans" w:eastAsia="Times New Roman" w:hAnsi="Open Sans" w:cs="Times New Roman"/>
          <w:color w:val="1B1B1B"/>
          <w:sz w:val="24"/>
          <w:szCs w:val="24"/>
          <w:lang w:eastAsia="pl-PL"/>
        </w:rPr>
        <w:t xml:space="preserve"> podatkowy. Numer </w:t>
      </w:r>
      <w:proofErr w:type="spellStart"/>
      <w:r w:rsidRPr="009A1D40">
        <w:rPr>
          <w:rFonts w:ascii="Open Sans" w:eastAsia="Times New Roman" w:hAnsi="Open Sans" w:cs="Times New Roman"/>
          <w:color w:val="1B1B1B"/>
          <w:sz w:val="24"/>
          <w:szCs w:val="24"/>
          <w:lang w:eastAsia="pl-PL"/>
        </w:rPr>
        <w:t>mikrorachunku</w:t>
      </w:r>
      <w:proofErr w:type="spellEnd"/>
      <w:r w:rsidRPr="009A1D40">
        <w:rPr>
          <w:rFonts w:ascii="Open Sans" w:eastAsia="Times New Roman" w:hAnsi="Open Sans" w:cs="Times New Roman"/>
          <w:color w:val="1B1B1B"/>
          <w:sz w:val="24"/>
          <w:szCs w:val="24"/>
          <w:lang w:eastAsia="pl-PL"/>
        </w:rPr>
        <w:t xml:space="preserve"> można sprawdzić w dowolnym momencie w ciągu roku, korzystając z </w:t>
      </w:r>
      <w:hyperlink r:id="rId8" w:history="1">
        <w:r w:rsidRPr="009A1D40">
          <w:rPr>
            <w:rFonts w:ascii="Open Sans" w:eastAsia="Times New Roman" w:hAnsi="Open Sans" w:cs="Times New Roman"/>
            <w:color w:val="0052A5"/>
            <w:sz w:val="24"/>
            <w:szCs w:val="24"/>
            <w:u w:val="single"/>
            <w:lang w:eastAsia="pl-PL"/>
          </w:rPr>
          <w:t xml:space="preserve">generatora dostępnego na stronie </w:t>
        </w:r>
        <w:proofErr w:type="spellStart"/>
        <w:r w:rsidRPr="009A1D40">
          <w:rPr>
            <w:rFonts w:ascii="Open Sans" w:eastAsia="Times New Roman" w:hAnsi="Open Sans" w:cs="Times New Roman"/>
            <w:color w:val="0052A5"/>
            <w:sz w:val="24"/>
            <w:szCs w:val="24"/>
            <w:u w:val="single"/>
            <w:lang w:eastAsia="pl-PL"/>
          </w:rPr>
          <w:t>podatki.</w:t>
        </w:r>
        <w:proofErr w:type="gramStart"/>
        <w:r w:rsidRPr="009A1D40">
          <w:rPr>
            <w:rFonts w:ascii="Open Sans" w:eastAsia="Times New Roman" w:hAnsi="Open Sans" w:cs="Times New Roman"/>
            <w:color w:val="0052A5"/>
            <w:sz w:val="24"/>
            <w:szCs w:val="24"/>
            <w:u w:val="single"/>
            <w:lang w:eastAsia="pl-PL"/>
          </w:rPr>
          <w:t>gov</w:t>
        </w:r>
        <w:proofErr w:type="gramEnd"/>
        <w:r w:rsidRPr="009A1D40">
          <w:rPr>
            <w:rFonts w:ascii="Open Sans" w:eastAsia="Times New Roman" w:hAnsi="Open Sans" w:cs="Times New Roman"/>
            <w:color w:val="0052A5"/>
            <w:sz w:val="24"/>
            <w:szCs w:val="24"/>
            <w:u w:val="single"/>
            <w:lang w:eastAsia="pl-PL"/>
          </w:rPr>
          <w:t>.</w:t>
        </w:r>
        <w:proofErr w:type="gramStart"/>
        <w:r w:rsidRPr="009A1D40">
          <w:rPr>
            <w:rFonts w:ascii="Open Sans" w:eastAsia="Times New Roman" w:hAnsi="Open Sans" w:cs="Times New Roman"/>
            <w:color w:val="0052A5"/>
            <w:sz w:val="24"/>
            <w:szCs w:val="24"/>
            <w:u w:val="single"/>
            <w:lang w:eastAsia="pl-PL"/>
          </w:rPr>
          <w:t>pl</w:t>
        </w:r>
        <w:proofErr w:type="spellEnd"/>
      </w:hyperlink>
      <w:proofErr w:type="gramEnd"/>
      <w:r w:rsidRPr="009A1D40">
        <w:rPr>
          <w:rFonts w:ascii="Open Sans" w:eastAsia="Times New Roman" w:hAnsi="Open Sans" w:cs="Times New Roman"/>
          <w:color w:val="1B1B1B"/>
          <w:sz w:val="24"/>
          <w:szCs w:val="24"/>
          <w:lang w:eastAsia="pl-PL"/>
        </w:rPr>
        <w:t xml:space="preserve"> lub w każdym urzędzie skarbowym. Korzystanie z </w:t>
      </w:r>
      <w:proofErr w:type="spellStart"/>
      <w:r w:rsidRPr="009A1D40">
        <w:rPr>
          <w:rFonts w:ascii="Open Sans" w:eastAsia="Times New Roman" w:hAnsi="Open Sans" w:cs="Times New Roman"/>
          <w:color w:val="1B1B1B"/>
          <w:sz w:val="24"/>
          <w:szCs w:val="24"/>
          <w:lang w:eastAsia="pl-PL"/>
        </w:rPr>
        <w:t>mikrorachunku</w:t>
      </w:r>
      <w:proofErr w:type="spellEnd"/>
      <w:r w:rsidRPr="009A1D40">
        <w:rPr>
          <w:rFonts w:ascii="Open Sans" w:eastAsia="Times New Roman" w:hAnsi="Open Sans" w:cs="Times New Roman"/>
          <w:color w:val="1B1B1B"/>
          <w:sz w:val="24"/>
          <w:szCs w:val="24"/>
          <w:lang w:eastAsia="pl-PL"/>
        </w:rPr>
        <w:t xml:space="preserve"> nie wiąże się z żadnymi opłatami. Wystarczy sprawdzić jego numer w generatorze i wykorzystać podczas przelewu.</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Dzięki temu podatnicy nie będą już szukać obowiązujących numerów rachunków urzędów skarbowych i ograniczą liczbę omyłkowych przelewów na niewłaściwe konto. Zmiana oznacza też sprawniejszą obsługę płatności PIT,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i VAT, co pozwala m.in. na szybsze uzyskanie potrzebnych zaświadczeń, np. o niezaleganiu w podatkach.</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Na </w:t>
      </w:r>
      <w:proofErr w:type="spellStart"/>
      <w:r w:rsidRPr="009A1D40">
        <w:rPr>
          <w:rFonts w:ascii="Open Sans" w:eastAsia="Times New Roman" w:hAnsi="Open Sans" w:cs="Times New Roman"/>
          <w:color w:val="1B1B1B"/>
          <w:sz w:val="24"/>
          <w:szCs w:val="24"/>
          <w:lang w:eastAsia="pl-PL"/>
        </w:rPr>
        <w:t>mikrorachunek</w:t>
      </w:r>
      <w:proofErr w:type="spellEnd"/>
      <w:r w:rsidRPr="009A1D40">
        <w:rPr>
          <w:rFonts w:ascii="Open Sans" w:eastAsia="Times New Roman" w:hAnsi="Open Sans" w:cs="Times New Roman"/>
          <w:color w:val="1B1B1B"/>
          <w:sz w:val="24"/>
          <w:szCs w:val="24"/>
          <w:lang w:eastAsia="pl-PL"/>
        </w:rPr>
        <w:t xml:space="preserve"> można wpłacać również odsetki za zwłokę powstałe od zaległości podatkowych z tytułu PIT,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i VAT i koszty upomnienia. Podatki inne niż PIT,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i VAT wpłaca się na dotychczasowych zasadach, czyli na rachunki podatkowe urzędów skarbowych.</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Więcej informacji o </w:t>
      </w:r>
      <w:hyperlink r:id="rId9" w:history="1">
        <w:proofErr w:type="spellStart"/>
        <w:r w:rsidRPr="009A1D40">
          <w:rPr>
            <w:rFonts w:ascii="Open Sans" w:eastAsia="Times New Roman" w:hAnsi="Open Sans" w:cs="Times New Roman"/>
            <w:color w:val="0052A5"/>
            <w:sz w:val="24"/>
            <w:szCs w:val="24"/>
            <w:u w:val="single"/>
            <w:lang w:eastAsia="pl-PL"/>
          </w:rPr>
          <w:t>mikrorachunku</w:t>
        </w:r>
        <w:proofErr w:type="spellEnd"/>
        <w:r w:rsidRPr="009A1D40">
          <w:rPr>
            <w:rFonts w:ascii="Open Sans" w:eastAsia="Times New Roman" w:hAnsi="Open Sans" w:cs="Times New Roman"/>
            <w:color w:val="0052A5"/>
            <w:sz w:val="24"/>
            <w:szCs w:val="24"/>
            <w:u w:val="single"/>
            <w:lang w:eastAsia="pl-PL"/>
          </w:rPr>
          <w:t xml:space="preserve"> podatkowym na </w:t>
        </w:r>
        <w:proofErr w:type="spellStart"/>
        <w:r w:rsidRPr="009A1D40">
          <w:rPr>
            <w:rFonts w:ascii="Open Sans" w:eastAsia="Times New Roman" w:hAnsi="Open Sans" w:cs="Times New Roman"/>
            <w:color w:val="0052A5"/>
            <w:sz w:val="24"/>
            <w:szCs w:val="24"/>
            <w:u w:val="single"/>
            <w:lang w:eastAsia="pl-PL"/>
          </w:rPr>
          <w:t>podatki.</w:t>
        </w:r>
        <w:proofErr w:type="gramStart"/>
        <w:r w:rsidRPr="009A1D40">
          <w:rPr>
            <w:rFonts w:ascii="Open Sans" w:eastAsia="Times New Roman" w:hAnsi="Open Sans" w:cs="Times New Roman"/>
            <w:color w:val="0052A5"/>
            <w:sz w:val="24"/>
            <w:szCs w:val="24"/>
            <w:u w:val="single"/>
            <w:lang w:eastAsia="pl-PL"/>
          </w:rPr>
          <w:t>gov</w:t>
        </w:r>
        <w:proofErr w:type="gramEnd"/>
        <w:r w:rsidRPr="009A1D40">
          <w:rPr>
            <w:rFonts w:ascii="Open Sans" w:eastAsia="Times New Roman" w:hAnsi="Open Sans" w:cs="Times New Roman"/>
            <w:color w:val="0052A5"/>
            <w:sz w:val="24"/>
            <w:szCs w:val="24"/>
            <w:u w:val="single"/>
            <w:lang w:eastAsia="pl-PL"/>
          </w:rPr>
          <w:t>.</w:t>
        </w:r>
        <w:proofErr w:type="gramStart"/>
        <w:r w:rsidRPr="009A1D40">
          <w:rPr>
            <w:rFonts w:ascii="Open Sans" w:eastAsia="Times New Roman" w:hAnsi="Open Sans" w:cs="Times New Roman"/>
            <w:color w:val="0052A5"/>
            <w:sz w:val="24"/>
            <w:szCs w:val="24"/>
            <w:u w:val="single"/>
            <w:lang w:eastAsia="pl-PL"/>
          </w:rPr>
          <w:t>pl</w:t>
        </w:r>
        <w:proofErr w:type="spellEnd"/>
      </w:hyperlink>
      <w:proofErr w:type="gramEnd"/>
      <w:r w:rsidRPr="009A1D40">
        <w:rPr>
          <w:rFonts w:ascii="Open Sans" w:eastAsia="Times New Roman" w:hAnsi="Open Sans" w:cs="Times New Roman"/>
          <w:color w:val="1B1B1B"/>
          <w:sz w:val="24"/>
          <w:szCs w:val="24"/>
          <w:lang w:eastAsia="pl-PL"/>
        </w:rPr>
        <w:t>.</w:t>
      </w:r>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r w:rsidRPr="009A1D40">
        <w:rPr>
          <w:rFonts w:ascii="Open Sans" w:eastAsia="Times New Roman" w:hAnsi="Open Sans" w:cs="Times New Roman"/>
          <w:b/>
          <w:bCs/>
          <w:color w:val="1B1B1B"/>
          <w:sz w:val="27"/>
          <w:szCs w:val="27"/>
          <w:lang w:eastAsia="pl-PL"/>
        </w:rPr>
        <w:t>Zmniejszenie zatorów płatniczych firm</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Od 1 stycznia 2020 r. podatnicy PIT i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będą mogli korzystać z tzw. ulgi na złe długi (wcześniej taką możliwość mieli już podatnicy VAT). Pozwala ona wierzycielowi na pomniejszanie podstawy opodatkowania o wartość wierzytelności (zaliczaną do przychodów należnych), jeżeli nie zostanie ona uregulowana lub zbyta w ciągu 90 dni od dnia upływu terminu jej płatności, który jest określony w umowie lub na fakturze (rachunku). Ta zmiana ma pomóc w likwidacji zatorów płatniczych firm i tym samym ułatwić im prowadzenie działalności gospodarczej.</w:t>
      </w:r>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r w:rsidRPr="009A1D40">
        <w:rPr>
          <w:rFonts w:ascii="Open Sans" w:eastAsia="Times New Roman" w:hAnsi="Open Sans" w:cs="Times New Roman"/>
          <w:b/>
          <w:bCs/>
          <w:color w:val="1B1B1B"/>
          <w:sz w:val="27"/>
          <w:szCs w:val="27"/>
          <w:lang w:eastAsia="pl-PL"/>
        </w:rPr>
        <w:t>Ułatwienia dla firm w spadku</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Korzystną zmianą dla podatników PIT będzie też przyjęcie rozwiązania, </w:t>
      </w:r>
      <w:proofErr w:type="gramStart"/>
      <w:r w:rsidRPr="009A1D40">
        <w:rPr>
          <w:rFonts w:ascii="Open Sans" w:eastAsia="Times New Roman" w:hAnsi="Open Sans" w:cs="Times New Roman"/>
          <w:color w:val="1B1B1B"/>
          <w:sz w:val="24"/>
          <w:szCs w:val="24"/>
          <w:lang w:eastAsia="pl-PL"/>
        </w:rPr>
        <w:t>zgodnie z którym</w:t>
      </w:r>
      <w:proofErr w:type="gramEnd"/>
      <w:r w:rsidRPr="009A1D40">
        <w:rPr>
          <w:rFonts w:ascii="Open Sans" w:eastAsia="Times New Roman" w:hAnsi="Open Sans" w:cs="Times New Roman"/>
          <w:color w:val="1B1B1B"/>
          <w:sz w:val="24"/>
          <w:szCs w:val="24"/>
          <w:lang w:eastAsia="pl-PL"/>
        </w:rPr>
        <w:t xml:space="preserve"> całość dochodu z tytułu prowadzenia  przedsiębiorstwa, w skład którego wchodzi udział zmarłego małżonka przedsiębiorcy zarządzany przez tymczasowego przedstawiciela [1], będzie opodatkowany wyłącznie przez żyjącego współmałżonka – z pominięciem praw do udziału w zysku nabywców udziału zmarłego małżonka.  W tym przypadku będzie się </w:t>
      </w:r>
      <w:r w:rsidRPr="009A1D40">
        <w:rPr>
          <w:rFonts w:ascii="Open Sans" w:eastAsia="Times New Roman" w:hAnsi="Open Sans" w:cs="Times New Roman"/>
          <w:color w:val="1B1B1B"/>
          <w:sz w:val="24"/>
          <w:szCs w:val="24"/>
          <w:lang w:eastAsia="pl-PL"/>
        </w:rPr>
        <w:lastRenderedPageBreak/>
        <w:t>przyjmować, że żyjący współmałżonek jest właścicielem całego przedsiębiorstwa, w tym również udziału zmarłego małżonka i innych nabytych w tym okresie składników majątku przedsiębiorstwa.</w:t>
      </w:r>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r w:rsidRPr="009A1D40">
        <w:rPr>
          <w:rFonts w:ascii="Open Sans" w:eastAsia="Times New Roman" w:hAnsi="Open Sans" w:cs="Times New Roman"/>
          <w:b/>
          <w:bCs/>
          <w:color w:val="1B1B1B"/>
          <w:sz w:val="27"/>
          <w:szCs w:val="27"/>
          <w:lang w:eastAsia="pl-PL"/>
        </w:rPr>
        <w:t>Transakcje powyżej 15 tys. zł wyłącznie na  rachunek z białej listy</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Od nowego roku podatnicy będą mieć obowiązek zapłaty za faktury o wartości powyżej 15 tys. zł na rachunki rozliczeniowe i rachunki w SKOK, zamieszczone w Wykazie podatników VAT (tzw. białej </w:t>
      </w:r>
      <w:proofErr w:type="gramStart"/>
      <w:r w:rsidRPr="009A1D40">
        <w:rPr>
          <w:rFonts w:ascii="Open Sans" w:eastAsia="Times New Roman" w:hAnsi="Open Sans" w:cs="Times New Roman"/>
          <w:color w:val="1B1B1B"/>
          <w:sz w:val="24"/>
          <w:szCs w:val="24"/>
          <w:lang w:eastAsia="pl-PL"/>
        </w:rPr>
        <w:t>liście) – jeżeli</w:t>
      </w:r>
      <w:proofErr w:type="gramEnd"/>
      <w:r w:rsidRPr="009A1D40">
        <w:rPr>
          <w:rFonts w:ascii="Open Sans" w:eastAsia="Times New Roman" w:hAnsi="Open Sans" w:cs="Times New Roman"/>
          <w:color w:val="1B1B1B"/>
          <w:sz w:val="24"/>
          <w:szCs w:val="24"/>
          <w:lang w:eastAsia="pl-PL"/>
        </w:rPr>
        <w:t xml:space="preserve"> wystawca faktury jest podatnikiem VAT czynnym. Oznacza to, że obowiązek ten nie będzie dotyczyć płatności, które wynikają z faktur wystawianych przez podatników zwolnionych z VAT ze względu na limit sprzedaży (tj. 40 tys. euro) [2] lub wykonujących wyłącznie czynności zwolnione z VAT [3].</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Zapłata na rachunek spoza wykazu spowoduje konsekwencje, tj.: brak możliwości zaliczenia wydatku do kosztów uzyskania przychodów (lub zmniejszenie wysokości kosztów) w PIT i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i odpowiedzialność solidarną w VAT (chodzi o kwotę podatku VAT, związanego z konkretną dostawą towarów lub świadczeniem usług). Podatnik może uniknąć tych konsekwencji, jeżeli poinformuje urząd skarbowy w ciągu 3. </w:t>
      </w:r>
      <w:proofErr w:type="gramStart"/>
      <w:r w:rsidRPr="009A1D40">
        <w:rPr>
          <w:rFonts w:ascii="Open Sans" w:eastAsia="Times New Roman" w:hAnsi="Open Sans" w:cs="Times New Roman"/>
          <w:color w:val="1B1B1B"/>
          <w:sz w:val="24"/>
          <w:szCs w:val="24"/>
          <w:lang w:eastAsia="pl-PL"/>
        </w:rPr>
        <w:t>dni</w:t>
      </w:r>
      <w:proofErr w:type="gramEnd"/>
      <w:r w:rsidRPr="009A1D40">
        <w:rPr>
          <w:rFonts w:ascii="Open Sans" w:eastAsia="Times New Roman" w:hAnsi="Open Sans" w:cs="Times New Roman"/>
          <w:color w:val="1B1B1B"/>
          <w:sz w:val="24"/>
          <w:szCs w:val="24"/>
          <w:lang w:eastAsia="pl-PL"/>
        </w:rPr>
        <w:t xml:space="preserve"> o numerze rachunku spoza wykazu, na który zlecił przelew.</w:t>
      </w:r>
    </w:p>
    <w:p w:rsidR="009A1D40" w:rsidRPr="009A1D40" w:rsidRDefault="00132277" w:rsidP="009A1D40">
      <w:pPr>
        <w:spacing w:before="100" w:beforeAutospacing="1" w:after="240" w:line="240" w:lineRule="auto"/>
        <w:rPr>
          <w:rFonts w:ascii="Open Sans" w:eastAsia="Times New Roman" w:hAnsi="Open Sans" w:cs="Times New Roman"/>
          <w:color w:val="1B1B1B"/>
          <w:sz w:val="24"/>
          <w:szCs w:val="24"/>
          <w:lang w:eastAsia="pl-PL"/>
        </w:rPr>
      </w:pPr>
      <w:hyperlink r:id="rId10" w:history="1">
        <w:r w:rsidR="009A1D40" w:rsidRPr="009A1D40">
          <w:rPr>
            <w:rFonts w:ascii="Open Sans" w:eastAsia="Times New Roman" w:hAnsi="Open Sans" w:cs="Times New Roman"/>
            <w:color w:val="0052A5"/>
            <w:sz w:val="24"/>
            <w:szCs w:val="24"/>
            <w:u w:val="single"/>
            <w:lang w:eastAsia="pl-PL"/>
          </w:rPr>
          <w:t xml:space="preserve">Więcej o Wykazie podatników VAT na </w:t>
        </w:r>
        <w:proofErr w:type="spellStart"/>
        <w:r w:rsidR="009A1D40" w:rsidRPr="009A1D40">
          <w:rPr>
            <w:rFonts w:ascii="Open Sans" w:eastAsia="Times New Roman" w:hAnsi="Open Sans" w:cs="Times New Roman"/>
            <w:color w:val="0052A5"/>
            <w:sz w:val="24"/>
            <w:szCs w:val="24"/>
            <w:u w:val="single"/>
            <w:lang w:eastAsia="pl-PL"/>
          </w:rPr>
          <w:t>podatki.</w:t>
        </w:r>
        <w:proofErr w:type="gramStart"/>
        <w:r w:rsidR="009A1D40" w:rsidRPr="009A1D40">
          <w:rPr>
            <w:rFonts w:ascii="Open Sans" w:eastAsia="Times New Roman" w:hAnsi="Open Sans" w:cs="Times New Roman"/>
            <w:color w:val="0052A5"/>
            <w:sz w:val="24"/>
            <w:szCs w:val="24"/>
            <w:u w:val="single"/>
            <w:lang w:eastAsia="pl-PL"/>
          </w:rPr>
          <w:t>gov</w:t>
        </w:r>
        <w:proofErr w:type="gramEnd"/>
        <w:r w:rsidR="009A1D40" w:rsidRPr="009A1D40">
          <w:rPr>
            <w:rFonts w:ascii="Open Sans" w:eastAsia="Times New Roman" w:hAnsi="Open Sans" w:cs="Times New Roman"/>
            <w:color w:val="0052A5"/>
            <w:sz w:val="24"/>
            <w:szCs w:val="24"/>
            <w:u w:val="single"/>
            <w:lang w:eastAsia="pl-PL"/>
          </w:rPr>
          <w:t>.</w:t>
        </w:r>
        <w:proofErr w:type="gramStart"/>
        <w:r w:rsidR="009A1D40" w:rsidRPr="009A1D40">
          <w:rPr>
            <w:rFonts w:ascii="Open Sans" w:eastAsia="Times New Roman" w:hAnsi="Open Sans" w:cs="Times New Roman"/>
            <w:color w:val="0052A5"/>
            <w:sz w:val="24"/>
            <w:szCs w:val="24"/>
            <w:u w:val="single"/>
            <w:lang w:eastAsia="pl-PL"/>
          </w:rPr>
          <w:t>pl</w:t>
        </w:r>
        <w:proofErr w:type="spellEnd"/>
      </w:hyperlink>
      <w:proofErr w:type="gramEnd"/>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r w:rsidRPr="009A1D40">
        <w:rPr>
          <w:rFonts w:ascii="Open Sans" w:eastAsia="Times New Roman" w:hAnsi="Open Sans" w:cs="Times New Roman"/>
          <w:b/>
          <w:bCs/>
          <w:color w:val="1B1B1B"/>
          <w:sz w:val="27"/>
          <w:szCs w:val="27"/>
          <w:lang w:eastAsia="pl-PL"/>
        </w:rPr>
        <w:t xml:space="preserve">Nowe regulacje dotyczące </w:t>
      </w:r>
      <w:proofErr w:type="spellStart"/>
      <w:r w:rsidRPr="009A1D40">
        <w:rPr>
          <w:rFonts w:ascii="Open Sans" w:eastAsia="Times New Roman" w:hAnsi="Open Sans" w:cs="Times New Roman"/>
          <w:b/>
          <w:bCs/>
          <w:color w:val="1B1B1B"/>
          <w:sz w:val="27"/>
          <w:szCs w:val="27"/>
          <w:lang w:eastAsia="pl-PL"/>
        </w:rPr>
        <w:t>MPP</w:t>
      </w:r>
      <w:proofErr w:type="spellEnd"/>
      <w:r w:rsidRPr="009A1D40">
        <w:rPr>
          <w:rFonts w:ascii="Open Sans" w:eastAsia="Times New Roman" w:hAnsi="Open Sans" w:cs="Times New Roman"/>
          <w:b/>
          <w:bCs/>
          <w:color w:val="1B1B1B"/>
          <w:sz w:val="27"/>
          <w:szCs w:val="27"/>
          <w:lang w:eastAsia="pl-PL"/>
        </w:rPr>
        <w:t xml:space="preserve"> i kas rejestrujących</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Przypominamy, że od 1 stycznia 2020 r. konsekwencje w PIT i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xml:space="preserve"> – tj. brak możliwości zaliczenia wydatku do kosztów uzyskania przychodów (lub zmniejszenie wysokości kosztów) przy transakcjach powyżej 15 tys. zł – będą dotyczyć również sytuacji, </w:t>
      </w:r>
      <w:r w:rsidRPr="009A1D40">
        <w:rPr>
          <w:rFonts w:ascii="Open Sans" w:eastAsia="Times New Roman" w:hAnsi="Open Sans" w:cs="Times New Roman"/>
          <w:b/>
          <w:bCs/>
          <w:color w:val="1B1B1B"/>
          <w:sz w:val="24"/>
          <w:szCs w:val="24"/>
          <w:lang w:eastAsia="pl-PL"/>
        </w:rPr>
        <w:t>kiedy płatność odbędzie się z pominięciem mechanizmu podzielonej płatności (</w:t>
      </w:r>
      <w:proofErr w:type="spellStart"/>
      <w:r w:rsidRPr="009A1D40">
        <w:rPr>
          <w:rFonts w:ascii="Open Sans" w:eastAsia="Times New Roman" w:hAnsi="Open Sans" w:cs="Times New Roman"/>
          <w:b/>
          <w:bCs/>
          <w:color w:val="1B1B1B"/>
          <w:sz w:val="24"/>
          <w:szCs w:val="24"/>
          <w:lang w:eastAsia="pl-PL"/>
        </w:rPr>
        <w:t>MPP</w:t>
      </w:r>
      <w:proofErr w:type="spellEnd"/>
      <w:r w:rsidRPr="009A1D40">
        <w:rPr>
          <w:rFonts w:ascii="Open Sans" w:eastAsia="Times New Roman" w:hAnsi="Open Sans" w:cs="Times New Roman"/>
          <w:b/>
          <w:bCs/>
          <w:color w:val="1B1B1B"/>
          <w:sz w:val="24"/>
          <w:szCs w:val="24"/>
          <w:lang w:eastAsia="pl-PL"/>
        </w:rPr>
        <w:t>)</w:t>
      </w:r>
      <w:r w:rsidRPr="009A1D40">
        <w:rPr>
          <w:rFonts w:ascii="Open Sans" w:eastAsia="Times New Roman" w:hAnsi="Open Sans" w:cs="Times New Roman"/>
          <w:color w:val="1B1B1B"/>
          <w:sz w:val="24"/>
          <w:szCs w:val="24"/>
          <w:lang w:eastAsia="pl-PL"/>
        </w:rPr>
        <w:t>, pomimo prawidłowego oznaczenia faktury, czyli napisania na niej wyrazów „mechanizm podzielonej płatności”.  </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Od nowego roku wystawienie dla nabywcy (podatnika VAT) faktury VAT z tytułu sprzedaży zarejestrowanej przy zastosowaniu kasy rejestrującej będzie możliwe tylko w przypadku, gdy paragon zawiera numer identyfikacyjny, za </w:t>
      </w:r>
      <w:proofErr w:type="gramStart"/>
      <w:r w:rsidRPr="009A1D40">
        <w:rPr>
          <w:rFonts w:ascii="Open Sans" w:eastAsia="Times New Roman" w:hAnsi="Open Sans" w:cs="Times New Roman"/>
          <w:color w:val="1B1B1B"/>
          <w:sz w:val="24"/>
          <w:szCs w:val="24"/>
          <w:lang w:eastAsia="pl-PL"/>
        </w:rPr>
        <w:t>pomocą którego</w:t>
      </w:r>
      <w:proofErr w:type="gramEnd"/>
      <w:r w:rsidRPr="009A1D40">
        <w:rPr>
          <w:rFonts w:ascii="Open Sans" w:eastAsia="Times New Roman" w:hAnsi="Open Sans" w:cs="Times New Roman"/>
          <w:color w:val="1B1B1B"/>
          <w:sz w:val="24"/>
          <w:szCs w:val="24"/>
          <w:lang w:eastAsia="pl-PL"/>
        </w:rPr>
        <w:t xml:space="preserve"> nabywca jest zidentyfikowany na potrzeby podatku lub podatku od wartości dodanej.</w:t>
      </w:r>
    </w:p>
    <w:p w:rsidR="009A1D40" w:rsidRP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Obowiązek posiadania kas rejestrujących online będzie dotyczył pierwszych grup podatników, którzy:</w:t>
      </w:r>
    </w:p>
    <w:p w:rsidR="009A1D40" w:rsidRPr="009A1D40" w:rsidRDefault="009A1D40" w:rsidP="009A1D40">
      <w:pPr>
        <w:numPr>
          <w:ilvl w:val="0"/>
          <w:numId w:val="4"/>
        </w:numPr>
        <w:spacing w:before="100" w:beforeAutospacing="1" w:after="100" w:afterAutospacing="1" w:line="240" w:lineRule="auto"/>
        <w:rPr>
          <w:rFonts w:ascii="Open Sans" w:eastAsia="Times New Roman" w:hAnsi="Open Sans" w:cs="Times New Roman"/>
          <w:color w:val="1B1B1B"/>
          <w:sz w:val="24"/>
          <w:szCs w:val="24"/>
          <w:lang w:eastAsia="pl-PL"/>
        </w:rPr>
      </w:pPr>
      <w:proofErr w:type="gramStart"/>
      <w:r w:rsidRPr="009A1D40">
        <w:rPr>
          <w:rFonts w:ascii="Open Sans" w:eastAsia="Times New Roman" w:hAnsi="Open Sans" w:cs="Times New Roman"/>
          <w:color w:val="1B1B1B"/>
          <w:sz w:val="24"/>
          <w:szCs w:val="24"/>
          <w:lang w:eastAsia="pl-PL"/>
        </w:rPr>
        <w:t>świadczą</w:t>
      </w:r>
      <w:proofErr w:type="gramEnd"/>
      <w:r w:rsidRPr="009A1D40">
        <w:rPr>
          <w:rFonts w:ascii="Open Sans" w:eastAsia="Times New Roman" w:hAnsi="Open Sans" w:cs="Times New Roman"/>
          <w:color w:val="1B1B1B"/>
          <w:sz w:val="24"/>
          <w:szCs w:val="24"/>
          <w:lang w:eastAsia="pl-PL"/>
        </w:rPr>
        <w:t xml:space="preserve"> usługi naprawy pojazdów silnikowych i motorowerów, w tym naprawy opon, ich zakładania, bieżnikowania i regenerowania, oraz w zakresie wymiany opon lub kół dla pojazdów silnikowych i motorowerów,</w:t>
      </w:r>
    </w:p>
    <w:p w:rsidR="009A1D40" w:rsidRPr="009A1D40" w:rsidRDefault="009A1D40" w:rsidP="009A1D40">
      <w:pPr>
        <w:numPr>
          <w:ilvl w:val="0"/>
          <w:numId w:val="4"/>
        </w:numPr>
        <w:spacing w:before="100" w:beforeAutospacing="1" w:after="100" w:afterAutospacing="1" w:line="240" w:lineRule="auto"/>
        <w:rPr>
          <w:rFonts w:ascii="Open Sans" w:eastAsia="Times New Roman" w:hAnsi="Open Sans" w:cs="Times New Roman"/>
          <w:color w:val="1B1B1B"/>
          <w:sz w:val="24"/>
          <w:szCs w:val="24"/>
          <w:lang w:eastAsia="pl-PL"/>
        </w:rPr>
      </w:pPr>
      <w:proofErr w:type="gramStart"/>
      <w:r w:rsidRPr="009A1D40">
        <w:rPr>
          <w:rFonts w:ascii="Open Sans" w:eastAsia="Times New Roman" w:hAnsi="Open Sans" w:cs="Times New Roman"/>
          <w:color w:val="1B1B1B"/>
          <w:sz w:val="24"/>
          <w:szCs w:val="24"/>
          <w:lang w:eastAsia="pl-PL"/>
        </w:rPr>
        <w:t>sprzedają</w:t>
      </w:r>
      <w:proofErr w:type="gramEnd"/>
      <w:r w:rsidRPr="009A1D40">
        <w:rPr>
          <w:rFonts w:ascii="Open Sans" w:eastAsia="Times New Roman" w:hAnsi="Open Sans" w:cs="Times New Roman"/>
          <w:color w:val="1B1B1B"/>
          <w:sz w:val="24"/>
          <w:szCs w:val="24"/>
          <w:lang w:eastAsia="pl-PL"/>
        </w:rPr>
        <w:t xml:space="preserve"> benzynę silnikową, olej napędowy, gaz przeznaczony do napędu silników spalinowych.</w:t>
      </w:r>
    </w:p>
    <w:p w:rsidR="009A1D40" w:rsidRPr="009A1D40" w:rsidRDefault="00132277" w:rsidP="009A1D40">
      <w:pPr>
        <w:spacing w:before="100" w:beforeAutospacing="1" w:after="240" w:line="240" w:lineRule="auto"/>
        <w:rPr>
          <w:rFonts w:ascii="Open Sans" w:eastAsia="Times New Roman" w:hAnsi="Open Sans" w:cs="Times New Roman"/>
          <w:color w:val="1B1B1B"/>
          <w:sz w:val="24"/>
          <w:szCs w:val="24"/>
          <w:lang w:eastAsia="pl-PL"/>
        </w:rPr>
      </w:pPr>
      <w:hyperlink r:id="rId11" w:history="1">
        <w:r w:rsidR="009A1D40" w:rsidRPr="009A1D40">
          <w:rPr>
            <w:rFonts w:ascii="Open Sans" w:eastAsia="Times New Roman" w:hAnsi="Open Sans" w:cs="Times New Roman"/>
            <w:color w:val="0052A5"/>
            <w:sz w:val="24"/>
            <w:szCs w:val="24"/>
            <w:u w:val="single"/>
            <w:lang w:eastAsia="pl-PL"/>
          </w:rPr>
          <w:t xml:space="preserve">Więcej informacji o kasach online na </w:t>
        </w:r>
        <w:proofErr w:type="spellStart"/>
        <w:r w:rsidR="009A1D40" w:rsidRPr="009A1D40">
          <w:rPr>
            <w:rFonts w:ascii="Open Sans" w:eastAsia="Times New Roman" w:hAnsi="Open Sans" w:cs="Times New Roman"/>
            <w:color w:val="0052A5"/>
            <w:sz w:val="24"/>
            <w:szCs w:val="24"/>
            <w:u w:val="single"/>
            <w:lang w:eastAsia="pl-PL"/>
          </w:rPr>
          <w:t>podatki.</w:t>
        </w:r>
        <w:proofErr w:type="gramStart"/>
        <w:r w:rsidR="009A1D40" w:rsidRPr="009A1D40">
          <w:rPr>
            <w:rFonts w:ascii="Open Sans" w:eastAsia="Times New Roman" w:hAnsi="Open Sans" w:cs="Times New Roman"/>
            <w:color w:val="0052A5"/>
            <w:sz w:val="24"/>
            <w:szCs w:val="24"/>
            <w:u w:val="single"/>
            <w:lang w:eastAsia="pl-PL"/>
          </w:rPr>
          <w:t>gov</w:t>
        </w:r>
        <w:proofErr w:type="gramEnd"/>
        <w:r w:rsidR="009A1D40" w:rsidRPr="009A1D40">
          <w:rPr>
            <w:rFonts w:ascii="Open Sans" w:eastAsia="Times New Roman" w:hAnsi="Open Sans" w:cs="Times New Roman"/>
            <w:color w:val="0052A5"/>
            <w:sz w:val="24"/>
            <w:szCs w:val="24"/>
            <w:u w:val="single"/>
            <w:lang w:eastAsia="pl-PL"/>
          </w:rPr>
          <w:t>.</w:t>
        </w:r>
        <w:proofErr w:type="gramStart"/>
        <w:r w:rsidR="009A1D40" w:rsidRPr="009A1D40">
          <w:rPr>
            <w:rFonts w:ascii="Open Sans" w:eastAsia="Times New Roman" w:hAnsi="Open Sans" w:cs="Times New Roman"/>
            <w:color w:val="0052A5"/>
            <w:sz w:val="24"/>
            <w:szCs w:val="24"/>
            <w:u w:val="single"/>
            <w:lang w:eastAsia="pl-PL"/>
          </w:rPr>
          <w:t>pl</w:t>
        </w:r>
        <w:proofErr w:type="spellEnd"/>
      </w:hyperlink>
      <w:proofErr w:type="gramEnd"/>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r w:rsidRPr="009A1D40">
        <w:rPr>
          <w:rFonts w:ascii="Open Sans" w:eastAsia="Times New Roman" w:hAnsi="Open Sans" w:cs="Times New Roman"/>
          <w:b/>
          <w:bCs/>
          <w:color w:val="1B1B1B"/>
          <w:sz w:val="27"/>
          <w:szCs w:val="27"/>
          <w:lang w:eastAsia="pl-PL"/>
        </w:rPr>
        <w:t>Pozostałe zmiany od 1 stycznia 2020 r.</w:t>
      </w:r>
    </w:p>
    <w:p w:rsidR="009A1D40" w:rsidRPr="009A1D40" w:rsidRDefault="009A1D40" w:rsidP="009A1D40">
      <w:pPr>
        <w:numPr>
          <w:ilvl w:val="0"/>
          <w:numId w:val="5"/>
        </w:numPr>
        <w:spacing w:before="100" w:beforeAutospacing="1" w:after="100" w:afterAutospacing="1" w:line="240" w:lineRule="auto"/>
        <w:rPr>
          <w:rFonts w:ascii="Open Sans" w:eastAsia="Times New Roman" w:hAnsi="Open Sans" w:cs="Times New Roman"/>
          <w:color w:val="1B1B1B"/>
          <w:sz w:val="24"/>
          <w:szCs w:val="24"/>
          <w:lang w:eastAsia="pl-PL"/>
        </w:rPr>
      </w:pPr>
      <w:proofErr w:type="gramStart"/>
      <w:r w:rsidRPr="009A1D40">
        <w:rPr>
          <w:rFonts w:ascii="Open Sans" w:eastAsia="Times New Roman" w:hAnsi="Open Sans" w:cs="Times New Roman"/>
          <w:color w:val="1B1B1B"/>
          <w:sz w:val="24"/>
          <w:szCs w:val="24"/>
          <w:lang w:eastAsia="pl-PL"/>
        </w:rPr>
        <w:lastRenderedPageBreak/>
        <w:t>obowiązek</w:t>
      </w:r>
      <w:proofErr w:type="gramEnd"/>
      <w:r w:rsidRPr="009A1D40">
        <w:rPr>
          <w:rFonts w:ascii="Open Sans" w:eastAsia="Times New Roman" w:hAnsi="Open Sans" w:cs="Times New Roman"/>
          <w:color w:val="1B1B1B"/>
          <w:sz w:val="24"/>
          <w:szCs w:val="24"/>
          <w:lang w:eastAsia="pl-PL"/>
        </w:rPr>
        <w:t xml:space="preserve"> sporządzania sprawozdań w formie ustrukturyzowanej przez organizacje niewpisane do rejestru przedsiębiorców KRS, które są podatnikami </w:t>
      </w:r>
      <w:proofErr w:type="spellStart"/>
      <w:r w:rsidRPr="009A1D40">
        <w:rPr>
          <w:rFonts w:ascii="Open Sans" w:eastAsia="Times New Roman" w:hAnsi="Open Sans" w:cs="Times New Roman"/>
          <w:color w:val="1B1B1B"/>
          <w:sz w:val="24"/>
          <w:szCs w:val="24"/>
          <w:lang w:eastAsia="pl-PL"/>
        </w:rPr>
        <w:t>CIT</w:t>
      </w:r>
      <w:proofErr w:type="spellEnd"/>
      <w:r w:rsidRPr="009A1D40">
        <w:rPr>
          <w:rFonts w:ascii="Open Sans" w:eastAsia="Times New Roman" w:hAnsi="Open Sans" w:cs="Times New Roman"/>
          <w:color w:val="1B1B1B"/>
          <w:sz w:val="24"/>
          <w:szCs w:val="24"/>
          <w:lang w:eastAsia="pl-PL"/>
        </w:rPr>
        <w:t>, np. fundacje, stowarzyszenia, związki zawodowe,</w:t>
      </w:r>
    </w:p>
    <w:p w:rsidR="009A1D40" w:rsidRPr="009A1D40" w:rsidRDefault="009A1D40" w:rsidP="009A1D40">
      <w:pPr>
        <w:numPr>
          <w:ilvl w:val="0"/>
          <w:numId w:val="5"/>
        </w:numPr>
        <w:spacing w:before="100" w:beforeAutospacing="1" w:after="100" w:afterAutospacing="1" w:line="240" w:lineRule="auto"/>
        <w:rPr>
          <w:rFonts w:ascii="Open Sans" w:eastAsia="Times New Roman" w:hAnsi="Open Sans" w:cs="Times New Roman"/>
          <w:color w:val="1B1B1B"/>
          <w:sz w:val="24"/>
          <w:szCs w:val="24"/>
          <w:lang w:eastAsia="pl-PL"/>
        </w:rPr>
      </w:pPr>
      <w:proofErr w:type="gramStart"/>
      <w:r w:rsidRPr="009A1D40">
        <w:rPr>
          <w:rFonts w:ascii="Open Sans" w:eastAsia="Times New Roman" w:hAnsi="Open Sans" w:cs="Times New Roman"/>
          <w:color w:val="1B1B1B"/>
          <w:sz w:val="24"/>
          <w:szCs w:val="24"/>
          <w:lang w:eastAsia="pl-PL"/>
        </w:rPr>
        <w:t>nowe</w:t>
      </w:r>
      <w:proofErr w:type="gramEnd"/>
      <w:r w:rsidRPr="009A1D40">
        <w:rPr>
          <w:rFonts w:ascii="Open Sans" w:eastAsia="Times New Roman" w:hAnsi="Open Sans" w:cs="Times New Roman"/>
          <w:color w:val="1B1B1B"/>
          <w:sz w:val="24"/>
          <w:szCs w:val="24"/>
          <w:lang w:eastAsia="pl-PL"/>
        </w:rPr>
        <w:t xml:space="preserve"> zasady składania wniosków o wszczęcie procedury wzajemnego porozumiewania się (MAP) i prowadzenia tych procedur,</w:t>
      </w:r>
    </w:p>
    <w:p w:rsidR="009A1D40" w:rsidRPr="009A1D40" w:rsidRDefault="009A1D40" w:rsidP="009A1D40">
      <w:pPr>
        <w:numPr>
          <w:ilvl w:val="0"/>
          <w:numId w:val="5"/>
        </w:numPr>
        <w:spacing w:before="100" w:beforeAutospacing="1" w:after="100" w:afterAutospacing="1" w:line="240" w:lineRule="auto"/>
        <w:rPr>
          <w:rFonts w:ascii="Open Sans" w:eastAsia="Times New Roman" w:hAnsi="Open Sans" w:cs="Times New Roman"/>
          <w:color w:val="1B1B1B"/>
          <w:sz w:val="24"/>
          <w:szCs w:val="24"/>
          <w:lang w:eastAsia="pl-PL"/>
        </w:rPr>
      </w:pPr>
      <w:proofErr w:type="gramStart"/>
      <w:r w:rsidRPr="009A1D40">
        <w:rPr>
          <w:rFonts w:ascii="Open Sans" w:eastAsia="Times New Roman" w:hAnsi="Open Sans" w:cs="Times New Roman"/>
          <w:color w:val="1B1B1B"/>
          <w:sz w:val="24"/>
          <w:szCs w:val="24"/>
          <w:lang w:eastAsia="pl-PL"/>
        </w:rPr>
        <w:t>rozszerzenie</w:t>
      </w:r>
      <w:proofErr w:type="gramEnd"/>
      <w:r w:rsidRPr="009A1D40">
        <w:rPr>
          <w:rFonts w:ascii="Open Sans" w:eastAsia="Times New Roman" w:hAnsi="Open Sans" w:cs="Times New Roman"/>
          <w:color w:val="1B1B1B"/>
          <w:sz w:val="24"/>
          <w:szCs w:val="24"/>
          <w:lang w:eastAsia="pl-PL"/>
        </w:rPr>
        <w:t xml:space="preserve"> zakresu przedmiotowego danych pozyskiwanych z rejestru PESEL dla Centralnego Rejestru Podmiotów Krajowej Ewidencji Podatników, co pozwoli m.in. na ulepszenie usługi Twój e-PIT.</w:t>
      </w:r>
    </w:p>
    <w:p w:rsidR="009A1D40" w:rsidRPr="009A1D40" w:rsidRDefault="009A1D40" w:rsidP="009A1D40">
      <w:pPr>
        <w:spacing w:before="100" w:beforeAutospacing="1" w:after="100" w:afterAutospacing="1" w:line="240" w:lineRule="auto"/>
        <w:outlineLvl w:val="2"/>
        <w:rPr>
          <w:rFonts w:ascii="Open Sans" w:eastAsia="Times New Roman" w:hAnsi="Open Sans" w:cs="Times New Roman"/>
          <w:b/>
          <w:bCs/>
          <w:color w:val="1B1B1B"/>
          <w:sz w:val="27"/>
          <w:szCs w:val="27"/>
          <w:lang w:eastAsia="pl-PL"/>
        </w:rPr>
      </w:pPr>
      <w:r w:rsidRPr="009A1D40">
        <w:rPr>
          <w:rFonts w:ascii="Open Sans" w:eastAsia="Times New Roman" w:hAnsi="Open Sans" w:cs="Times New Roman"/>
          <w:b/>
          <w:bCs/>
          <w:color w:val="1B1B1B"/>
          <w:sz w:val="27"/>
          <w:szCs w:val="27"/>
          <w:lang w:eastAsia="pl-PL"/>
        </w:rPr>
        <w:t>Przypisy</w:t>
      </w:r>
    </w:p>
    <w:p w:rsidR="009A1D40" w:rsidRDefault="009A1D40" w:rsidP="009A1D40">
      <w:pPr>
        <w:spacing w:before="100" w:beforeAutospacing="1" w:after="240" w:line="240" w:lineRule="auto"/>
        <w:rPr>
          <w:rFonts w:ascii="Open Sans" w:eastAsia="Times New Roman" w:hAnsi="Open Sans" w:cs="Times New Roman"/>
          <w:color w:val="1B1B1B"/>
          <w:sz w:val="24"/>
          <w:szCs w:val="24"/>
          <w:lang w:eastAsia="pl-PL"/>
        </w:rPr>
      </w:pPr>
      <w:r w:rsidRPr="009A1D40">
        <w:rPr>
          <w:rFonts w:ascii="Open Sans" w:eastAsia="Times New Roman" w:hAnsi="Open Sans" w:cs="Times New Roman"/>
          <w:color w:val="1B1B1B"/>
          <w:sz w:val="24"/>
          <w:szCs w:val="24"/>
          <w:lang w:eastAsia="pl-PL"/>
        </w:rPr>
        <w:t xml:space="preserve">[1] na podstawie ustawy o zarządzie sukcesyjnym przedsiębiorstwem osoby fizycznej i innych ułatwieniach związanych z sukcesją </w:t>
      </w:r>
      <w:proofErr w:type="gramStart"/>
      <w:r w:rsidRPr="009A1D40">
        <w:rPr>
          <w:rFonts w:ascii="Open Sans" w:eastAsia="Times New Roman" w:hAnsi="Open Sans" w:cs="Times New Roman"/>
          <w:color w:val="1B1B1B"/>
          <w:sz w:val="24"/>
          <w:szCs w:val="24"/>
          <w:lang w:eastAsia="pl-PL"/>
        </w:rPr>
        <w:t>przedsiębiorstwa</w:t>
      </w:r>
      <w:r w:rsidRPr="009A1D40">
        <w:rPr>
          <w:rFonts w:ascii="Open Sans" w:eastAsia="Times New Roman" w:hAnsi="Open Sans" w:cs="Times New Roman"/>
          <w:color w:val="1B1B1B"/>
          <w:sz w:val="24"/>
          <w:szCs w:val="24"/>
          <w:lang w:eastAsia="pl-PL"/>
        </w:rPr>
        <w:br/>
        <w:t>[2] o którym</w:t>
      </w:r>
      <w:proofErr w:type="gramEnd"/>
      <w:r w:rsidRPr="009A1D40">
        <w:rPr>
          <w:rFonts w:ascii="Open Sans" w:eastAsia="Times New Roman" w:hAnsi="Open Sans" w:cs="Times New Roman"/>
          <w:color w:val="1B1B1B"/>
          <w:sz w:val="24"/>
          <w:szCs w:val="24"/>
          <w:lang w:eastAsia="pl-PL"/>
        </w:rPr>
        <w:t xml:space="preserve"> mowa w art. 113 ust. 1 ustawy o VAT</w:t>
      </w:r>
      <w:r w:rsidRPr="009A1D40">
        <w:rPr>
          <w:rFonts w:ascii="Open Sans" w:eastAsia="Times New Roman" w:hAnsi="Open Sans" w:cs="Times New Roman"/>
          <w:color w:val="1B1B1B"/>
          <w:sz w:val="24"/>
          <w:szCs w:val="24"/>
          <w:lang w:eastAsia="pl-PL"/>
        </w:rPr>
        <w:br/>
        <w:t>[3] na podstawie art. 43 ustawy o VAT</w:t>
      </w:r>
    </w:p>
    <w:p w:rsidR="003260BC" w:rsidRPr="003260BC" w:rsidRDefault="003260BC" w:rsidP="003260BC">
      <w:pPr>
        <w:spacing w:after="180" w:line="240" w:lineRule="auto"/>
        <w:textAlignment w:val="baseline"/>
        <w:outlineLvl w:val="1"/>
        <w:rPr>
          <w:rFonts w:ascii="inherit" w:eastAsia="Times New Roman" w:hAnsi="inherit" w:cs="Times New Roman"/>
          <w:b/>
          <w:bCs/>
          <w:color w:val="1B1B1B"/>
          <w:sz w:val="60"/>
          <w:szCs w:val="60"/>
          <w:lang w:eastAsia="pl-PL"/>
        </w:rPr>
      </w:pPr>
      <w:r w:rsidRPr="003260BC">
        <w:rPr>
          <w:rFonts w:ascii="inherit" w:eastAsia="Times New Roman" w:hAnsi="inherit" w:cs="Times New Roman"/>
          <w:b/>
          <w:bCs/>
          <w:color w:val="1B1B1B"/>
          <w:sz w:val="60"/>
          <w:szCs w:val="60"/>
          <w:lang w:eastAsia="pl-PL"/>
        </w:rPr>
        <w:t>Nowa matryca stawek VAT</w:t>
      </w:r>
    </w:p>
    <w:p w:rsidR="003260BC" w:rsidRPr="003260BC" w:rsidRDefault="003260BC" w:rsidP="003260BC">
      <w:pPr>
        <w:spacing w:after="240" w:line="240" w:lineRule="auto"/>
        <w:textAlignment w:val="baseline"/>
        <w:rPr>
          <w:rFonts w:ascii="inherit" w:eastAsia="Times New Roman" w:hAnsi="inherit" w:cs="Times New Roman"/>
          <w:color w:val="1B1B1B"/>
          <w:sz w:val="21"/>
          <w:szCs w:val="21"/>
          <w:lang w:eastAsia="pl-PL"/>
        </w:rPr>
      </w:pPr>
      <w:r w:rsidRPr="003260BC">
        <w:rPr>
          <w:rFonts w:ascii="inherit" w:eastAsia="Times New Roman" w:hAnsi="inherit" w:cs="Times New Roman"/>
          <w:color w:val="1B1B1B"/>
          <w:sz w:val="21"/>
          <w:szCs w:val="21"/>
          <w:lang w:eastAsia="pl-PL"/>
        </w:rPr>
        <w:t>30.12.2019</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p>
    <w:p w:rsidR="003260BC" w:rsidRPr="003260BC" w:rsidRDefault="003260BC" w:rsidP="003260BC">
      <w:pPr>
        <w:numPr>
          <w:ilvl w:val="0"/>
          <w:numId w:val="6"/>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Od 1 listopada 2019 r. weszły w życie przepisy dotyczące nowej matrycy stawek VAT i wiążącej informacji stawkowej (WIS) [1].</w:t>
      </w:r>
    </w:p>
    <w:p w:rsidR="003260BC" w:rsidRPr="003260BC" w:rsidRDefault="003260BC" w:rsidP="003260BC">
      <w:pPr>
        <w:numPr>
          <w:ilvl w:val="0"/>
          <w:numId w:val="6"/>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Nowa matryca stawek VAT będzie stosowana od 1 kwietnia 2020 r. – z wyjątkiem stawek VAT dot. wydawnictw książkowych i prasowych, które obowiązują od 1 listopada 2019 r.</w:t>
      </w:r>
    </w:p>
    <w:p w:rsidR="003260BC" w:rsidRPr="003260BC" w:rsidRDefault="003260BC" w:rsidP="003260BC">
      <w:pPr>
        <w:numPr>
          <w:ilvl w:val="0"/>
          <w:numId w:val="6"/>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Wiążąca informacja stawkowa (WIS) to decyzja, która ułatwi podatnikom stosowanie przepisów dotyczących stawek VAT i zapewni im w tym zakresie odpowiednią ochronę.</w:t>
      </w:r>
    </w:p>
    <w:p w:rsidR="003260BC" w:rsidRPr="003260BC" w:rsidRDefault="003260BC" w:rsidP="003260BC">
      <w:pPr>
        <w:numPr>
          <w:ilvl w:val="0"/>
          <w:numId w:val="6"/>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 xml:space="preserve">Wystąpienie z wnioskiem o wydanie WIS jest możliwe od 1 listopada 2019 </w:t>
      </w:r>
      <w:proofErr w:type="gramStart"/>
      <w:r w:rsidRPr="003260BC">
        <w:rPr>
          <w:rFonts w:ascii="inherit" w:eastAsia="Times New Roman" w:hAnsi="inherit" w:cs="Times New Roman"/>
          <w:b/>
          <w:bCs/>
          <w:color w:val="1B1B1B"/>
          <w:sz w:val="24"/>
          <w:szCs w:val="24"/>
          <w:lang w:eastAsia="pl-PL"/>
        </w:rPr>
        <w:t>r. – przy czym</w:t>
      </w:r>
      <w:proofErr w:type="gramEnd"/>
      <w:r w:rsidRPr="003260BC">
        <w:rPr>
          <w:rFonts w:ascii="inherit" w:eastAsia="Times New Roman" w:hAnsi="inherit" w:cs="Times New Roman"/>
          <w:b/>
          <w:bCs/>
          <w:color w:val="1B1B1B"/>
          <w:sz w:val="24"/>
          <w:szCs w:val="24"/>
          <w:lang w:eastAsia="pl-PL"/>
        </w:rPr>
        <w:t xml:space="preserve"> WIS może dotyczyć stanu prawnego, który zacznie obowiązywać dopiero od 1 kwietnia 2020 r.</w:t>
      </w:r>
    </w:p>
    <w:p w:rsidR="003260BC" w:rsidRPr="003260BC" w:rsidRDefault="003260BC" w:rsidP="003260BC">
      <w:pPr>
        <w:spacing w:before="408" w:after="144" w:line="240" w:lineRule="auto"/>
        <w:textAlignment w:val="baseline"/>
        <w:outlineLvl w:val="2"/>
        <w:rPr>
          <w:rFonts w:ascii="inherit" w:eastAsia="Times New Roman" w:hAnsi="inherit" w:cs="Times New Roman"/>
          <w:b/>
          <w:bCs/>
          <w:color w:val="1B1B1B"/>
          <w:sz w:val="39"/>
          <w:szCs w:val="39"/>
          <w:lang w:eastAsia="pl-PL"/>
        </w:rPr>
      </w:pPr>
      <w:r w:rsidRPr="003260BC">
        <w:rPr>
          <w:rFonts w:ascii="inherit" w:eastAsia="Times New Roman" w:hAnsi="inherit" w:cs="Times New Roman"/>
          <w:b/>
          <w:bCs/>
          <w:color w:val="1B1B1B"/>
          <w:sz w:val="39"/>
          <w:szCs w:val="39"/>
          <w:lang w:eastAsia="pl-PL"/>
        </w:rPr>
        <w:t xml:space="preserve">Co oznacza wprowadzenie nowej matrycy stawek </w:t>
      </w:r>
      <w:proofErr w:type="gramStart"/>
      <w:r w:rsidRPr="003260BC">
        <w:rPr>
          <w:rFonts w:ascii="inherit" w:eastAsia="Times New Roman" w:hAnsi="inherit" w:cs="Times New Roman"/>
          <w:b/>
          <w:bCs/>
          <w:color w:val="1B1B1B"/>
          <w:sz w:val="39"/>
          <w:szCs w:val="39"/>
          <w:lang w:eastAsia="pl-PL"/>
        </w:rPr>
        <w:t>VAT</w:t>
      </w:r>
      <w:proofErr w:type="gramEnd"/>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1.    </w:t>
      </w:r>
      <w:r w:rsidRPr="003260BC">
        <w:rPr>
          <w:rFonts w:ascii="inherit" w:eastAsia="Times New Roman" w:hAnsi="inherit" w:cs="Times New Roman"/>
          <w:b/>
          <w:bCs/>
          <w:color w:val="1B1B1B"/>
          <w:sz w:val="24"/>
          <w:szCs w:val="24"/>
          <w:lang w:eastAsia="pl-PL"/>
        </w:rPr>
        <w:t>Zmianę klasyfikacji towarów i usług na potrzeby VAT</w:t>
      </w:r>
      <w:r w:rsidRPr="003260BC">
        <w:rPr>
          <w:rFonts w:ascii="inherit" w:eastAsia="Times New Roman" w:hAnsi="inherit" w:cs="Times New Roman"/>
          <w:color w:val="1B1B1B"/>
          <w:sz w:val="24"/>
          <w:szCs w:val="24"/>
          <w:lang w:eastAsia="pl-PL"/>
        </w:rPr>
        <w:br/>
        <w:t>Chodzi o rezygnację ze stosowania Polskiej Klasyfikacji Wyrobów i Usług (PKWiU 2008) na rzecz:</w:t>
      </w:r>
    </w:p>
    <w:p w:rsidR="003260BC" w:rsidRPr="003260BC" w:rsidRDefault="003260BC" w:rsidP="003260BC">
      <w:pPr>
        <w:numPr>
          <w:ilvl w:val="0"/>
          <w:numId w:val="7"/>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Nomenklatury scalonej (</w:t>
      </w:r>
      <w:proofErr w:type="spellStart"/>
      <w:r w:rsidRPr="003260BC">
        <w:rPr>
          <w:rFonts w:ascii="inherit" w:eastAsia="Times New Roman" w:hAnsi="inherit" w:cs="Times New Roman"/>
          <w:b/>
          <w:bCs/>
          <w:color w:val="1B1B1B"/>
          <w:sz w:val="24"/>
          <w:szCs w:val="24"/>
          <w:lang w:eastAsia="pl-PL"/>
        </w:rPr>
        <w:t>CN</w:t>
      </w:r>
      <w:proofErr w:type="spellEnd"/>
      <w:r w:rsidRPr="003260BC">
        <w:rPr>
          <w:rFonts w:ascii="inherit" w:eastAsia="Times New Roman" w:hAnsi="inherit" w:cs="Times New Roman"/>
          <w:b/>
          <w:bCs/>
          <w:color w:val="1B1B1B"/>
          <w:sz w:val="24"/>
          <w:szCs w:val="24"/>
          <w:lang w:eastAsia="pl-PL"/>
        </w:rPr>
        <w:t>) albo Polskiej Klasyfikacji Obiektów Budowlanych (</w:t>
      </w:r>
      <w:proofErr w:type="spellStart"/>
      <w:r w:rsidRPr="003260BC">
        <w:rPr>
          <w:rFonts w:ascii="inherit" w:eastAsia="Times New Roman" w:hAnsi="inherit" w:cs="Times New Roman"/>
          <w:b/>
          <w:bCs/>
          <w:color w:val="1B1B1B"/>
          <w:sz w:val="24"/>
          <w:szCs w:val="24"/>
          <w:lang w:eastAsia="pl-PL"/>
        </w:rPr>
        <w:t>PKOB</w:t>
      </w:r>
      <w:proofErr w:type="spellEnd"/>
      <w:r w:rsidRPr="003260BC">
        <w:rPr>
          <w:rFonts w:ascii="inherit" w:eastAsia="Times New Roman" w:hAnsi="inherit" w:cs="Times New Roman"/>
          <w:b/>
          <w:bCs/>
          <w:color w:val="1B1B1B"/>
          <w:sz w:val="24"/>
          <w:szCs w:val="24"/>
          <w:lang w:eastAsia="pl-PL"/>
        </w:rPr>
        <w:t>) w zakresie towarów</w:t>
      </w:r>
      <w:r w:rsidRPr="003260BC">
        <w:rPr>
          <w:rFonts w:ascii="inherit" w:eastAsia="Times New Roman" w:hAnsi="inherit" w:cs="Times New Roman"/>
          <w:color w:val="1B1B1B"/>
          <w:sz w:val="24"/>
          <w:szCs w:val="24"/>
          <w:lang w:eastAsia="pl-PL"/>
        </w:rPr>
        <w:t xml:space="preserve"> oraz</w:t>
      </w:r>
    </w:p>
    <w:p w:rsidR="003260BC" w:rsidRPr="003260BC" w:rsidRDefault="003260BC" w:rsidP="003260BC">
      <w:pPr>
        <w:numPr>
          <w:ilvl w:val="0"/>
          <w:numId w:val="7"/>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aktualnej</w:t>
      </w:r>
      <w:proofErr w:type="gramEnd"/>
      <w:r w:rsidRPr="003260BC">
        <w:rPr>
          <w:rFonts w:ascii="inherit" w:eastAsia="Times New Roman" w:hAnsi="inherit" w:cs="Times New Roman"/>
          <w:color w:val="1B1B1B"/>
          <w:sz w:val="24"/>
          <w:szCs w:val="24"/>
          <w:lang w:eastAsia="pl-PL"/>
        </w:rPr>
        <w:t xml:space="preserve"> (obowiązującej od 1 kwietnia 2020 r.) </w:t>
      </w:r>
      <w:r w:rsidRPr="003260BC">
        <w:rPr>
          <w:rFonts w:ascii="inherit" w:eastAsia="Times New Roman" w:hAnsi="inherit" w:cs="Times New Roman"/>
          <w:b/>
          <w:bCs/>
          <w:color w:val="1B1B1B"/>
          <w:sz w:val="24"/>
          <w:szCs w:val="24"/>
          <w:lang w:eastAsia="pl-PL"/>
        </w:rPr>
        <w:t>Polskiej Klasyfikacji Wyrobów i Usług (PKWiU 2015) w zakresie usług</w:t>
      </w:r>
      <w:r w:rsidRPr="003260BC">
        <w:rPr>
          <w:rFonts w:ascii="inherit" w:eastAsia="Times New Roman" w:hAnsi="inherit" w:cs="Times New Roman"/>
          <w:color w:val="1B1B1B"/>
          <w:sz w:val="24"/>
          <w:szCs w:val="24"/>
          <w:lang w:eastAsia="pl-PL"/>
        </w:rPr>
        <w:t>.</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2.    </w:t>
      </w:r>
      <w:r w:rsidRPr="003260BC">
        <w:rPr>
          <w:rFonts w:ascii="inherit" w:eastAsia="Times New Roman" w:hAnsi="inherit" w:cs="Times New Roman"/>
          <w:b/>
          <w:bCs/>
          <w:color w:val="1B1B1B"/>
          <w:sz w:val="24"/>
          <w:szCs w:val="24"/>
          <w:lang w:eastAsia="pl-PL"/>
        </w:rPr>
        <w:t>Uproszczenie systemu stawek VAT</w:t>
      </w:r>
      <w:r w:rsidRPr="003260BC">
        <w:rPr>
          <w:rFonts w:ascii="inherit" w:eastAsia="Times New Roman" w:hAnsi="inherit" w:cs="Times New Roman"/>
          <w:color w:val="1B1B1B"/>
          <w:sz w:val="24"/>
          <w:szCs w:val="24"/>
          <w:lang w:eastAsia="pl-PL"/>
        </w:rPr>
        <w:br/>
        <w:t>Ma to zapewnić prostotę, przejrzystość i przyjazność w stosowaniu przepisów dot. stawek dzięki:</w:t>
      </w:r>
    </w:p>
    <w:p w:rsidR="003260BC" w:rsidRPr="003260BC" w:rsidRDefault="003260BC" w:rsidP="003260BC">
      <w:pPr>
        <w:numPr>
          <w:ilvl w:val="0"/>
          <w:numId w:val="8"/>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objęciu</w:t>
      </w:r>
      <w:proofErr w:type="gramEnd"/>
      <w:r w:rsidRPr="003260BC">
        <w:rPr>
          <w:rFonts w:ascii="inherit" w:eastAsia="Times New Roman" w:hAnsi="inherit" w:cs="Times New Roman"/>
          <w:color w:val="1B1B1B"/>
          <w:sz w:val="24"/>
          <w:szCs w:val="24"/>
          <w:lang w:eastAsia="pl-PL"/>
        </w:rPr>
        <w:t xml:space="preserve"> jedną stawką w jak największym stopniu całych grup towarowych (działów </w:t>
      </w:r>
      <w:proofErr w:type="spellStart"/>
      <w:r w:rsidRPr="003260BC">
        <w:rPr>
          <w:rFonts w:ascii="inherit" w:eastAsia="Times New Roman" w:hAnsi="inherit" w:cs="Times New Roman"/>
          <w:color w:val="1B1B1B"/>
          <w:sz w:val="24"/>
          <w:szCs w:val="24"/>
          <w:lang w:eastAsia="pl-PL"/>
        </w:rPr>
        <w:t>CN</w:t>
      </w:r>
      <w:proofErr w:type="spellEnd"/>
      <w:r w:rsidRPr="003260BC">
        <w:rPr>
          <w:rFonts w:ascii="inherit" w:eastAsia="Times New Roman" w:hAnsi="inherit" w:cs="Times New Roman"/>
          <w:color w:val="1B1B1B"/>
          <w:sz w:val="24"/>
          <w:szCs w:val="24"/>
          <w:lang w:eastAsia="pl-PL"/>
        </w:rPr>
        <w:t xml:space="preserve">). Oznacza to istotne zmniejszenie liczby pozycji w nowych załącznikach nr 3 i nr 10 do ustawy </w:t>
      </w:r>
      <w:r w:rsidRPr="003260BC">
        <w:rPr>
          <w:rFonts w:ascii="inherit" w:eastAsia="Times New Roman" w:hAnsi="inherit" w:cs="Times New Roman"/>
          <w:color w:val="1B1B1B"/>
          <w:sz w:val="24"/>
          <w:szCs w:val="24"/>
          <w:lang w:eastAsia="pl-PL"/>
        </w:rPr>
        <w:lastRenderedPageBreak/>
        <w:t>VAT [2], które zawierają wykazy towarów i usług opodatkowanych według stawek odpowiednio 8% i 5%,</w:t>
      </w:r>
    </w:p>
    <w:p w:rsidR="003260BC" w:rsidRPr="003260BC" w:rsidRDefault="003260BC" w:rsidP="003260BC">
      <w:pPr>
        <w:numPr>
          <w:ilvl w:val="0"/>
          <w:numId w:val="8"/>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generalnemu</w:t>
      </w:r>
      <w:proofErr w:type="gramEnd"/>
      <w:r w:rsidRPr="003260BC">
        <w:rPr>
          <w:rFonts w:ascii="inherit" w:eastAsia="Times New Roman" w:hAnsi="inherit" w:cs="Times New Roman"/>
          <w:color w:val="1B1B1B"/>
          <w:sz w:val="24"/>
          <w:szCs w:val="24"/>
          <w:lang w:eastAsia="pl-PL"/>
        </w:rPr>
        <w:t xml:space="preserve"> obniżeniu stawek („równanie w dół”) – w przypadku konieczności zmiany stawki na dane towary,</w:t>
      </w:r>
    </w:p>
    <w:p w:rsidR="003260BC" w:rsidRPr="003260BC" w:rsidRDefault="003260BC" w:rsidP="003260BC">
      <w:pPr>
        <w:numPr>
          <w:ilvl w:val="0"/>
          <w:numId w:val="8"/>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 xml:space="preserve">zrównoważeniu efektu uproszczenia matrycy podwyżkami stawek na </w:t>
      </w:r>
      <w:proofErr w:type="gramStart"/>
      <w:r w:rsidRPr="003260BC">
        <w:rPr>
          <w:rFonts w:ascii="inherit" w:eastAsia="Times New Roman" w:hAnsi="inherit" w:cs="Times New Roman"/>
          <w:color w:val="1B1B1B"/>
          <w:sz w:val="24"/>
          <w:szCs w:val="24"/>
          <w:lang w:eastAsia="pl-PL"/>
        </w:rPr>
        <w:t>wybrane – ale</w:t>
      </w:r>
      <w:proofErr w:type="gramEnd"/>
      <w:r w:rsidRPr="003260BC">
        <w:rPr>
          <w:rFonts w:ascii="inherit" w:eastAsia="Times New Roman" w:hAnsi="inherit" w:cs="Times New Roman"/>
          <w:color w:val="1B1B1B"/>
          <w:sz w:val="24"/>
          <w:szCs w:val="24"/>
          <w:lang w:eastAsia="pl-PL"/>
        </w:rPr>
        <w:t xml:space="preserve"> nieliczne – towary.</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Przykładowe obniżenie stawek VAT</w:t>
      </w:r>
      <w:proofErr w:type="gramStart"/>
      <w:r w:rsidRPr="003260BC">
        <w:rPr>
          <w:rFonts w:ascii="inherit" w:eastAsia="Times New Roman" w:hAnsi="inherit" w:cs="Times New Roman"/>
          <w:b/>
          <w:bCs/>
          <w:color w:val="1B1B1B"/>
          <w:sz w:val="24"/>
          <w:szCs w:val="24"/>
          <w:lang w:eastAsia="pl-PL"/>
        </w:rPr>
        <w:t>:</w:t>
      </w:r>
      <w:r w:rsidRPr="003260BC">
        <w:rPr>
          <w:rFonts w:ascii="inherit" w:eastAsia="Times New Roman" w:hAnsi="inherit" w:cs="Times New Roman"/>
          <w:color w:val="1B1B1B"/>
          <w:sz w:val="24"/>
          <w:szCs w:val="24"/>
          <w:lang w:eastAsia="pl-PL"/>
        </w:rPr>
        <w:br/>
        <w:t>Już</w:t>
      </w:r>
      <w:proofErr w:type="gramEnd"/>
      <w:r w:rsidRPr="003260BC">
        <w:rPr>
          <w:rFonts w:ascii="inherit" w:eastAsia="Times New Roman" w:hAnsi="inherit" w:cs="Times New Roman"/>
          <w:color w:val="1B1B1B"/>
          <w:sz w:val="24"/>
          <w:szCs w:val="24"/>
          <w:lang w:eastAsia="pl-PL"/>
        </w:rPr>
        <w:t xml:space="preserve"> od 1 listopada 2019 r. e-booki (w tym również audiobooki) z 23% do 5%, e-prasa z 23% do 8%.</w:t>
      </w:r>
      <w:r w:rsidRPr="003260BC">
        <w:rPr>
          <w:rFonts w:ascii="inherit" w:eastAsia="Times New Roman" w:hAnsi="inherit" w:cs="Times New Roman"/>
          <w:color w:val="1B1B1B"/>
          <w:sz w:val="24"/>
          <w:szCs w:val="24"/>
          <w:lang w:eastAsia="pl-PL"/>
        </w:rPr>
        <w:br/>
        <w:t>Od 1 kwietnia 2020 r.:</w:t>
      </w:r>
    </w:p>
    <w:p w:rsidR="003260BC" w:rsidRPr="003260BC" w:rsidRDefault="003260BC" w:rsidP="003260BC">
      <w:pPr>
        <w:numPr>
          <w:ilvl w:val="0"/>
          <w:numId w:val="9"/>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niektóre</w:t>
      </w:r>
      <w:proofErr w:type="gramEnd"/>
      <w:r w:rsidRPr="003260BC">
        <w:rPr>
          <w:rFonts w:ascii="inherit" w:eastAsia="Times New Roman" w:hAnsi="inherit" w:cs="Times New Roman"/>
          <w:color w:val="1B1B1B"/>
          <w:sz w:val="24"/>
          <w:szCs w:val="24"/>
          <w:lang w:eastAsia="pl-PL"/>
        </w:rPr>
        <w:t xml:space="preserve"> produkty żywnościowe – owoce tropikalne i cytrusy (z 8% do 5%), niektóre rodzaje pieczywa i ciastek (z 23% i 8% do 5%), zupy, buliony, żywność homogenizowana i dietetyczna (z 8% do 5%), niektóre przyprawy – musztarda, pieprz mielony (z 23% do 8%),</w:t>
      </w:r>
    </w:p>
    <w:p w:rsidR="003260BC" w:rsidRPr="003260BC" w:rsidRDefault="003260BC" w:rsidP="003260BC">
      <w:pPr>
        <w:numPr>
          <w:ilvl w:val="0"/>
          <w:numId w:val="9"/>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produkty</w:t>
      </w:r>
      <w:proofErr w:type="gramEnd"/>
      <w:r w:rsidRPr="003260BC">
        <w:rPr>
          <w:rFonts w:ascii="inherit" w:eastAsia="Times New Roman" w:hAnsi="inherit" w:cs="Times New Roman"/>
          <w:color w:val="1B1B1B"/>
          <w:sz w:val="24"/>
          <w:szCs w:val="24"/>
          <w:lang w:eastAsia="pl-PL"/>
        </w:rPr>
        <w:t xml:space="preserve"> dla niemowląt i dzieci – żywność, smoczki, pieluszki, foteliki samochodowe (z 8% do 5%),</w:t>
      </w:r>
    </w:p>
    <w:p w:rsidR="003260BC" w:rsidRPr="003260BC" w:rsidRDefault="003260BC" w:rsidP="003260BC">
      <w:pPr>
        <w:numPr>
          <w:ilvl w:val="0"/>
          <w:numId w:val="9"/>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niektóre</w:t>
      </w:r>
      <w:proofErr w:type="gramEnd"/>
      <w:r w:rsidRPr="003260BC">
        <w:rPr>
          <w:rFonts w:ascii="inherit" w:eastAsia="Times New Roman" w:hAnsi="inherit" w:cs="Times New Roman"/>
          <w:color w:val="1B1B1B"/>
          <w:sz w:val="24"/>
          <w:szCs w:val="24"/>
          <w:lang w:eastAsia="pl-PL"/>
        </w:rPr>
        <w:t xml:space="preserve"> artykuły higieniczne (z 8% do 5%).</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3.    </w:t>
      </w:r>
      <w:r w:rsidRPr="003260BC">
        <w:rPr>
          <w:rFonts w:ascii="inherit" w:eastAsia="Times New Roman" w:hAnsi="inherit" w:cs="Times New Roman"/>
          <w:b/>
          <w:bCs/>
          <w:color w:val="1B1B1B"/>
          <w:sz w:val="24"/>
          <w:szCs w:val="24"/>
          <w:lang w:eastAsia="pl-PL"/>
        </w:rPr>
        <w:t>Zmianę zakresu systemu ryczałtowego dla rolników</w:t>
      </w:r>
      <w:r w:rsidRPr="003260BC">
        <w:rPr>
          <w:rFonts w:ascii="inherit" w:eastAsia="Times New Roman" w:hAnsi="inherit" w:cs="Times New Roman"/>
          <w:color w:val="1B1B1B"/>
          <w:sz w:val="24"/>
          <w:szCs w:val="24"/>
          <w:lang w:eastAsia="pl-PL"/>
        </w:rPr>
        <w:br/>
        <w:t>Nowe przepisy przewidują zwiększenie katalogu produktów rolnych i uproszczenie regulacji przez:</w:t>
      </w:r>
    </w:p>
    <w:p w:rsidR="003260BC" w:rsidRPr="003260BC" w:rsidRDefault="003260BC" w:rsidP="003260BC">
      <w:pPr>
        <w:numPr>
          <w:ilvl w:val="0"/>
          <w:numId w:val="10"/>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objęcie</w:t>
      </w:r>
      <w:proofErr w:type="gramEnd"/>
      <w:r w:rsidRPr="003260BC">
        <w:rPr>
          <w:rFonts w:ascii="inherit" w:eastAsia="Times New Roman" w:hAnsi="inherit" w:cs="Times New Roman"/>
          <w:color w:val="1B1B1B"/>
          <w:sz w:val="24"/>
          <w:szCs w:val="24"/>
          <w:lang w:eastAsia="pl-PL"/>
        </w:rPr>
        <w:t xml:space="preserve"> definicją produktów rolnych </w:t>
      </w:r>
      <w:r w:rsidRPr="003260BC">
        <w:rPr>
          <w:rFonts w:ascii="inherit" w:eastAsia="Times New Roman" w:hAnsi="inherit" w:cs="Times New Roman"/>
          <w:b/>
          <w:bCs/>
          <w:color w:val="1B1B1B"/>
          <w:sz w:val="24"/>
          <w:szCs w:val="24"/>
          <w:lang w:eastAsia="pl-PL"/>
        </w:rPr>
        <w:t>wszystkich</w:t>
      </w:r>
      <w:r w:rsidRPr="003260BC">
        <w:rPr>
          <w:rFonts w:ascii="inherit" w:eastAsia="Times New Roman" w:hAnsi="inherit" w:cs="Times New Roman"/>
          <w:color w:val="1B1B1B"/>
          <w:sz w:val="24"/>
          <w:szCs w:val="24"/>
          <w:lang w:eastAsia="pl-PL"/>
        </w:rPr>
        <w:t xml:space="preserve"> (a nie jak dotąd jedynie wybranych) towarów pochodzących z działalności rolniczej rolnika ryczałtowego oraz towarów wytworzonych z nich w sposób inny niż przemysłowy,</w:t>
      </w:r>
    </w:p>
    <w:p w:rsidR="003260BC" w:rsidRPr="003260BC" w:rsidRDefault="003260BC" w:rsidP="003260BC">
      <w:pPr>
        <w:numPr>
          <w:ilvl w:val="0"/>
          <w:numId w:val="10"/>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ujednolicenie</w:t>
      </w:r>
      <w:proofErr w:type="gramEnd"/>
      <w:r w:rsidRPr="003260BC">
        <w:rPr>
          <w:rFonts w:ascii="inherit" w:eastAsia="Times New Roman" w:hAnsi="inherit" w:cs="Times New Roman"/>
          <w:color w:val="1B1B1B"/>
          <w:sz w:val="24"/>
          <w:szCs w:val="24"/>
          <w:lang w:eastAsia="pl-PL"/>
        </w:rPr>
        <w:t xml:space="preserve"> przepisów w tym zakresie z przepisami obowiązującymi w podatku PIT.</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4.    </w:t>
      </w:r>
      <w:r w:rsidRPr="003260BC">
        <w:rPr>
          <w:rFonts w:ascii="inherit" w:eastAsia="Times New Roman" w:hAnsi="inherit" w:cs="Times New Roman"/>
          <w:b/>
          <w:bCs/>
          <w:color w:val="1B1B1B"/>
          <w:sz w:val="24"/>
          <w:szCs w:val="24"/>
          <w:lang w:eastAsia="pl-PL"/>
        </w:rPr>
        <w:t>Wprowadzenie wiążącej informacji stawkowej (WIS</w:t>
      </w:r>
      <w:proofErr w:type="gramStart"/>
      <w:r w:rsidRPr="003260BC">
        <w:rPr>
          <w:rFonts w:ascii="inherit" w:eastAsia="Times New Roman" w:hAnsi="inherit" w:cs="Times New Roman"/>
          <w:b/>
          <w:bCs/>
          <w:color w:val="1B1B1B"/>
          <w:sz w:val="24"/>
          <w:szCs w:val="24"/>
          <w:lang w:eastAsia="pl-PL"/>
        </w:rPr>
        <w:t>)</w:t>
      </w:r>
      <w:r w:rsidRPr="003260BC">
        <w:rPr>
          <w:rFonts w:ascii="inherit" w:eastAsia="Times New Roman" w:hAnsi="inherit" w:cs="Times New Roman"/>
          <w:color w:val="1B1B1B"/>
          <w:sz w:val="24"/>
          <w:szCs w:val="24"/>
          <w:lang w:eastAsia="pl-PL"/>
        </w:rPr>
        <w:br/>
        <w:t>WIS</w:t>
      </w:r>
      <w:proofErr w:type="gramEnd"/>
      <w:r w:rsidRPr="003260BC">
        <w:rPr>
          <w:rFonts w:ascii="inherit" w:eastAsia="Times New Roman" w:hAnsi="inherit" w:cs="Times New Roman"/>
          <w:color w:val="1B1B1B"/>
          <w:sz w:val="24"/>
          <w:szCs w:val="24"/>
          <w:lang w:eastAsia="pl-PL"/>
        </w:rPr>
        <w:t xml:space="preserve"> to decyzja administracyjna, która ułatwi podatnikom stosowanie przepisów dotyczących stawek VAT i zapewni im w tym zakresie odpowiednią ochronę.</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t>WIS będzie zawierać opis towaru albo usługi, albo kilku towarów lub usług, które razem składają się na jedno świadczenie, a także ich klasyfikację [3] i właściwą stawkę VAT [4].</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t xml:space="preserve">WIS będzie wiązać organ podatkowy wobec podatnika, dla którego została wydana – w odniesieniu do towaru albo usługi, która jest jej przedmiotem [5]. Z ochrony będą mogli również korzystać inni podatnicy – na warunkach określonych w przepisach rozdziału </w:t>
      </w:r>
      <w:proofErr w:type="spellStart"/>
      <w:r w:rsidRPr="003260BC">
        <w:rPr>
          <w:rFonts w:ascii="inherit" w:eastAsia="Times New Roman" w:hAnsi="inherit" w:cs="Times New Roman"/>
          <w:color w:val="1B1B1B"/>
          <w:sz w:val="24"/>
          <w:szCs w:val="24"/>
          <w:lang w:eastAsia="pl-PL"/>
        </w:rPr>
        <w:t>1a</w:t>
      </w:r>
      <w:proofErr w:type="spellEnd"/>
      <w:r w:rsidRPr="003260BC">
        <w:rPr>
          <w:rFonts w:ascii="inherit" w:eastAsia="Times New Roman" w:hAnsi="inherit" w:cs="Times New Roman"/>
          <w:color w:val="1B1B1B"/>
          <w:sz w:val="24"/>
          <w:szCs w:val="24"/>
          <w:lang w:eastAsia="pl-PL"/>
        </w:rPr>
        <w:t xml:space="preserve"> w dziale VIII ustawy o VAT [6]. W tym przypadku ochrona ta będzie mieć taki sam charakter, jak ochrona wynikająca z interpretacji indywidualnych wydawanych w trybie Ordynacji podatkowej [7].</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t>Z analogicznej ochrony (tj. takiej jak w przypadku interpretacji indywidualnych) będą mogli korzystać posiadacze i inne podmioty posługujące się wiążącą informacją akcyzową (</w:t>
      </w:r>
      <w:proofErr w:type="spellStart"/>
      <w:r w:rsidRPr="003260BC">
        <w:rPr>
          <w:rFonts w:ascii="inherit" w:eastAsia="Times New Roman" w:hAnsi="inherit" w:cs="Times New Roman"/>
          <w:color w:val="1B1B1B"/>
          <w:sz w:val="24"/>
          <w:szCs w:val="24"/>
          <w:lang w:eastAsia="pl-PL"/>
        </w:rPr>
        <w:t>WIA</w:t>
      </w:r>
      <w:proofErr w:type="spellEnd"/>
      <w:r w:rsidRPr="003260BC">
        <w:rPr>
          <w:rFonts w:ascii="inherit" w:eastAsia="Times New Roman" w:hAnsi="inherit" w:cs="Times New Roman"/>
          <w:color w:val="1B1B1B"/>
          <w:sz w:val="24"/>
          <w:szCs w:val="24"/>
          <w:lang w:eastAsia="pl-PL"/>
        </w:rPr>
        <w:t>) [8], wydawaną na podstawie ustawy o podatku akcyzowym [9].</w:t>
      </w:r>
    </w:p>
    <w:p w:rsidR="003260BC" w:rsidRPr="003260BC" w:rsidRDefault="003260BC" w:rsidP="003260BC">
      <w:pPr>
        <w:spacing w:before="408" w:after="144" w:line="240" w:lineRule="auto"/>
        <w:textAlignment w:val="baseline"/>
        <w:outlineLvl w:val="2"/>
        <w:rPr>
          <w:rFonts w:ascii="inherit" w:eastAsia="Times New Roman" w:hAnsi="inherit" w:cs="Times New Roman"/>
          <w:b/>
          <w:bCs/>
          <w:color w:val="1B1B1B"/>
          <w:sz w:val="39"/>
          <w:szCs w:val="39"/>
          <w:lang w:eastAsia="pl-PL"/>
        </w:rPr>
      </w:pPr>
      <w:r w:rsidRPr="003260BC">
        <w:rPr>
          <w:rFonts w:ascii="inherit" w:eastAsia="Times New Roman" w:hAnsi="inherit" w:cs="Times New Roman"/>
          <w:b/>
          <w:bCs/>
          <w:color w:val="1B1B1B"/>
          <w:sz w:val="39"/>
          <w:szCs w:val="39"/>
          <w:lang w:eastAsia="pl-PL"/>
        </w:rPr>
        <w:t>O WIS można występować od 1 listopada 2019 r.</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 xml:space="preserve">Podatnicy mogą wnioskować o wydanie WIS od 1 listopada 2019 r., przy czym będzie ona dotyczyć stanu prawnego, który zacznie obowiązywać </w:t>
      </w:r>
      <w:r w:rsidRPr="003260BC">
        <w:rPr>
          <w:rFonts w:ascii="inherit" w:eastAsia="Times New Roman" w:hAnsi="inherit" w:cs="Times New Roman"/>
          <w:b/>
          <w:bCs/>
          <w:color w:val="1B1B1B"/>
          <w:sz w:val="24"/>
          <w:szCs w:val="24"/>
          <w:lang w:eastAsia="pl-PL"/>
        </w:rPr>
        <w:t>od 1 kwietnia 2020 r.</w:t>
      </w:r>
      <w:r w:rsidRPr="003260BC">
        <w:rPr>
          <w:rFonts w:ascii="inherit" w:eastAsia="Times New Roman" w:hAnsi="inherit" w:cs="Times New Roman"/>
          <w:color w:val="1B1B1B"/>
          <w:sz w:val="24"/>
          <w:szCs w:val="24"/>
          <w:lang w:eastAsia="pl-PL"/>
        </w:rPr>
        <w:t xml:space="preserve"> Od tego </w:t>
      </w:r>
      <w:proofErr w:type="gramStart"/>
      <w:r w:rsidRPr="003260BC">
        <w:rPr>
          <w:rFonts w:ascii="inherit" w:eastAsia="Times New Roman" w:hAnsi="inherit" w:cs="Times New Roman"/>
          <w:color w:val="1B1B1B"/>
          <w:sz w:val="24"/>
          <w:szCs w:val="24"/>
          <w:lang w:eastAsia="pl-PL"/>
        </w:rPr>
        <w:t>dnia bowiem</w:t>
      </w:r>
      <w:proofErr w:type="gramEnd"/>
      <w:r w:rsidRPr="003260BC">
        <w:rPr>
          <w:rFonts w:ascii="inherit" w:eastAsia="Times New Roman" w:hAnsi="inherit" w:cs="Times New Roman"/>
          <w:color w:val="1B1B1B"/>
          <w:sz w:val="24"/>
          <w:szCs w:val="24"/>
          <w:lang w:eastAsia="pl-PL"/>
        </w:rPr>
        <w:t xml:space="preserve"> będą stosowane nowe przepisy dotyczące sposobu identyfikowania towarów i usług na potrzeby VAT według:</w:t>
      </w:r>
    </w:p>
    <w:p w:rsidR="003260BC" w:rsidRPr="003260BC" w:rsidRDefault="003260BC" w:rsidP="003260BC">
      <w:pPr>
        <w:numPr>
          <w:ilvl w:val="0"/>
          <w:numId w:val="11"/>
        </w:numPr>
        <w:spacing w:after="0" w:line="240" w:lineRule="auto"/>
        <w:ind w:left="0"/>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Nomenklatury scalonej (</w:t>
      </w:r>
      <w:proofErr w:type="spellStart"/>
      <w:r w:rsidRPr="003260BC">
        <w:rPr>
          <w:rFonts w:ascii="inherit" w:eastAsia="Times New Roman" w:hAnsi="inherit" w:cs="Times New Roman"/>
          <w:color w:val="1B1B1B"/>
          <w:sz w:val="24"/>
          <w:szCs w:val="24"/>
          <w:lang w:eastAsia="pl-PL"/>
        </w:rPr>
        <w:t>CN</w:t>
      </w:r>
      <w:proofErr w:type="spellEnd"/>
      <w:r w:rsidRPr="003260BC">
        <w:rPr>
          <w:rFonts w:ascii="inherit" w:eastAsia="Times New Roman" w:hAnsi="inherit" w:cs="Times New Roman"/>
          <w:color w:val="1B1B1B"/>
          <w:sz w:val="24"/>
          <w:szCs w:val="24"/>
          <w:lang w:eastAsia="pl-PL"/>
        </w:rPr>
        <w:t>) albo Polskiej Klasyfikacji Obiektów Budowlanych (</w:t>
      </w:r>
      <w:proofErr w:type="spellStart"/>
      <w:r w:rsidRPr="003260BC">
        <w:rPr>
          <w:rFonts w:ascii="inherit" w:eastAsia="Times New Roman" w:hAnsi="inherit" w:cs="Times New Roman"/>
          <w:color w:val="1B1B1B"/>
          <w:sz w:val="24"/>
          <w:szCs w:val="24"/>
          <w:lang w:eastAsia="pl-PL"/>
        </w:rPr>
        <w:t>PKOB</w:t>
      </w:r>
      <w:proofErr w:type="spellEnd"/>
      <w:r w:rsidRPr="003260BC">
        <w:rPr>
          <w:rFonts w:ascii="inherit" w:eastAsia="Times New Roman" w:hAnsi="inherit" w:cs="Times New Roman"/>
          <w:color w:val="1B1B1B"/>
          <w:sz w:val="24"/>
          <w:szCs w:val="24"/>
          <w:lang w:eastAsia="pl-PL"/>
        </w:rPr>
        <w:t>) – w zakresie towarów,</w:t>
      </w:r>
    </w:p>
    <w:p w:rsidR="003260BC" w:rsidRPr="003260BC" w:rsidRDefault="003260BC" w:rsidP="003260BC">
      <w:pPr>
        <w:numPr>
          <w:ilvl w:val="0"/>
          <w:numId w:val="11"/>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lastRenderedPageBreak/>
        <w:t>aktualnej</w:t>
      </w:r>
      <w:proofErr w:type="gramEnd"/>
      <w:r w:rsidRPr="003260BC">
        <w:rPr>
          <w:rFonts w:ascii="inherit" w:eastAsia="Times New Roman" w:hAnsi="inherit" w:cs="Times New Roman"/>
          <w:color w:val="1B1B1B"/>
          <w:sz w:val="24"/>
          <w:szCs w:val="24"/>
          <w:lang w:eastAsia="pl-PL"/>
        </w:rPr>
        <w:t xml:space="preserve"> (tj. obowiązującej od 1 kwietnia 2020 r.) Polskiej Klasyfikacji Wyrobów i Usług (PKWiU 2015) – w zakresie usług,</w:t>
      </w:r>
    </w:p>
    <w:p w:rsidR="003260BC" w:rsidRPr="003260BC" w:rsidRDefault="003260BC" w:rsidP="003260BC">
      <w:pPr>
        <w:spacing w:after="240" w:line="240" w:lineRule="auto"/>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oraz</w:t>
      </w:r>
      <w:proofErr w:type="gramEnd"/>
      <w:r w:rsidRPr="003260BC">
        <w:rPr>
          <w:rFonts w:ascii="inherit" w:eastAsia="Times New Roman" w:hAnsi="inherit" w:cs="Times New Roman"/>
          <w:color w:val="1B1B1B"/>
          <w:sz w:val="24"/>
          <w:szCs w:val="24"/>
          <w:lang w:eastAsia="pl-PL"/>
        </w:rPr>
        <w:t xml:space="preserve"> przepisy dotyczące nowej matrycy stawek VAT [10]. Również ochrona, wynikająca z WIS wydanych po 1 listopada 2019 r., będzie obowiązywać dopiero od 1 kwietnia 2020 r</w:t>
      </w:r>
      <w:proofErr w:type="gramStart"/>
      <w:r w:rsidRPr="003260BC">
        <w:rPr>
          <w:rFonts w:ascii="inherit" w:eastAsia="Times New Roman" w:hAnsi="inherit" w:cs="Times New Roman"/>
          <w:color w:val="1B1B1B"/>
          <w:sz w:val="24"/>
          <w:szCs w:val="24"/>
          <w:lang w:eastAsia="pl-PL"/>
        </w:rPr>
        <w:t>. [11].</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t>Takie</w:t>
      </w:r>
      <w:proofErr w:type="gramEnd"/>
      <w:r w:rsidRPr="003260BC">
        <w:rPr>
          <w:rFonts w:ascii="inherit" w:eastAsia="Times New Roman" w:hAnsi="inherit" w:cs="Times New Roman"/>
          <w:color w:val="1B1B1B"/>
          <w:sz w:val="24"/>
          <w:szCs w:val="24"/>
          <w:lang w:eastAsia="pl-PL"/>
        </w:rPr>
        <w:t xml:space="preserve"> rozwiązanie ma umożliwić zapoznanie się przez podatników z nowym systemem i wcześniejsze otrzymanie istotnych dla nich informacji nt. opodatkowania towarów i usług w nowych realiach.</w:t>
      </w:r>
    </w:p>
    <w:p w:rsidR="003260BC" w:rsidRPr="003260BC" w:rsidRDefault="003260BC" w:rsidP="003260BC">
      <w:pPr>
        <w:spacing w:before="408" w:after="144" w:line="240" w:lineRule="auto"/>
        <w:textAlignment w:val="baseline"/>
        <w:outlineLvl w:val="2"/>
        <w:rPr>
          <w:rFonts w:ascii="inherit" w:eastAsia="Times New Roman" w:hAnsi="inherit" w:cs="Times New Roman"/>
          <w:b/>
          <w:bCs/>
          <w:color w:val="1B1B1B"/>
          <w:sz w:val="39"/>
          <w:szCs w:val="39"/>
          <w:lang w:eastAsia="pl-PL"/>
        </w:rPr>
      </w:pPr>
      <w:r w:rsidRPr="003260BC">
        <w:rPr>
          <w:rFonts w:ascii="inherit" w:eastAsia="Times New Roman" w:hAnsi="inherit" w:cs="Times New Roman"/>
          <w:b/>
          <w:bCs/>
          <w:color w:val="1B1B1B"/>
          <w:sz w:val="39"/>
          <w:szCs w:val="39"/>
          <w:lang w:eastAsia="pl-PL"/>
        </w:rPr>
        <w:t>Wyjątek</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 xml:space="preserve">Od 1 listopada 2019 r. można wystąpić o wydanie WIS dotyczącej stanu prawnego, który obowiązuje od tego samego dnia (tj. 1 listopada 2019 r.), jednak </w:t>
      </w:r>
      <w:r w:rsidRPr="003260BC">
        <w:rPr>
          <w:rFonts w:ascii="inherit" w:eastAsia="Times New Roman" w:hAnsi="inherit" w:cs="Times New Roman"/>
          <w:b/>
          <w:bCs/>
          <w:color w:val="1B1B1B"/>
          <w:sz w:val="24"/>
          <w:szCs w:val="24"/>
          <w:lang w:eastAsia="pl-PL"/>
        </w:rPr>
        <w:t xml:space="preserve">wyłącznie </w:t>
      </w:r>
      <w:r w:rsidRPr="003260BC">
        <w:rPr>
          <w:rFonts w:ascii="inherit" w:eastAsia="Times New Roman" w:hAnsi="inherit" w:cs="Times New Roman"/>
          <w:color w:val="1B1B1B"/>
          <w:sz w:val="24"/>
          <w:szCs w:val="24"/>
          <w:lang w:eastAsia="pl-PL"/>
        </w:rPr>
        <w:t>w odniesieniu do:</w:t>
      </w:r>
    </w:p>
    <w:p w:rsidR="003260BC" w:rsidRPr="003260BC" w:rsidRDefault="003260BC" w:rsidP="003260BC">
      <w:pPr>
        <w:numPr>
          <w:ilvl w:val="0"/>
          <w:numId w:val="12"/>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b/>
          <w:bCs/>
          <w:color w:val="1B1B1B"/>
          <w:sz w:val="24"/>
          <w:szCs w:val="24"/>
          <w:lang w:eastAsia="pl-PL"/>
        </w:rPr>
        <w:t>wydawnictw</w:t>
      </w:r>
      <w:proofErr w:type="gramEnd"/>
      <w:r w:rsidRPr="003260BC">
        <w:rPr>
          <w:rFonts w:ascii="inherit" w:eastAsia="Times New Roman" w:hAnsi="inherit" w:cs="Times New Roman"/>
          <w:b/>
          <w:bCs/>
          <w:color w:val="1B1B1B"/>
          <w:sz w:val="24"/>
          <w:szCs w:val="24"/>
          <w:lang w:eastAsia="pl-PL"/>
        </w:rPr>
        <w:t xml:space="preserve"> książkowych </w:t>
      </w:r>
      <w:r w:rsidRPr="003260BC">
        <w:rPr>
          <w:rFonts w:ascii="inherit" w:eastAsia="Times New Roman" w:hAnsi="inherit" w:cs="Times New Roman"/>
          <w:color w:val="1B1B1B"/>
          <w:sz w:val="24"/>
          <w:szCs w:val="24"/>
          <w:lang w:eastAsia="pl-PL"/>
        </w:rPr>
        <w:t>(książki, broszury, nuty, mapy) – we wszystkich postaciach, tj. drukowanych, na nośnikach fizycznych (dyski, taśmy itd.) i w formie elektronicznej (tzw. e-booki),</w:t>
      </w:r>
    </w:p>
    <w:p w:rsidR="003260BC" w:rsidRPr="003260BC" w:rsidRDefault="003260BC" w:rsidP="003260BC">
      <w:pPr>
        <w:numPr>
          <w:ilvl w:val="0"/>
          <w:numId w:val="12"/>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b/>
          <w:bCs/>
          <w:color w:val="1B1B1B"/>
          <w:sz w:val="24"/>
          <w:szCs w:val="24"/>
          <w:lang w:eastAsia="pl-PL"/>
        </w:rPr>
        <w:t>wydawnictw</w:t>
      </w:r>
      <w:proofErr w:type="gramEnd"/>
      <w:r w:rsidRPr="003260BC">
        <w:rPr>
          <w:rFonts w:ascii="inherit" w:eastAsia="Times New Roman" w:hAnsi="inherit" w:cs="Times New Roman"/>
          <w:b/>
          <w:bCs/>
          <w:color w:val="1B1B1B"/>
          <w:sz w:val="24"/>
          <w:szCs w:val="24"/>
          <w:lang w:eastAsia="pl-PL"/>
        </w:rPr>
        <w:t xml:space="preserve"> prasowych </w:t>
      </w:r>
      <w:r w:rsidRPr="003260BC">
        <w:rPr>
          <w:rFonts w:ascii="inherit" w:eastAsia="Times New Roman" w:hAnsi="inherit" w:cs="Times New Roman"/>
          <w:color w:val="1B1B1B"/>
          <w:sz w:val="24"/>
          <w:szCs w:val="24"/>
          <w:lang w:eastAsia="pl-PL"/>
        </w:rPr>
        <w:t>(gazety, dzienniki, czasopisma) – we wszystkich postaciach, tj. drukowanych, na nośnikach fizycznych (dyski, taśmy itd.) i w formie elektronicznej (tzw. e-prasa).</w:t>
      </w:r>
    </w:p>
    <w:p w:rsidR="003260BC" w:rsidRPr="003260BC" w:rsidRDefault="003260BC" w:rsidP="003260BC">
      <w:pPr>
        <w:spacing w:after="240" w:line="240" w:lineRule="auto"/>
        <w:textAlignment w:val="baseline"/>
        <w:rPr>
          <w:rFonts w:ascii="inherit" w:eastAsia="Times New Roman" w:hAnsi="inherit" w:cs="Times New Roman"/>
          <w:color w:val="1B1B1B"/>
          <w:sz w:val="24"/>
          <w:szCs w:val="24"/>
          <w:lang w:eastAsia="pl-PL"/>
        </w:rPr>
      </w:pPr>
      <w:proofErr w:type="gramStart"/>
      <w:r w:rsidRPr="003260BC">
        <w:rPr>
          <w:rFonts w:ascii="inherit" w:eastAsia="Times New Roman" w:hAnsi="inherit" w:cs="Times New Roman"/>
          <w:color w:val="1B1B1B"/>
          <w:sz w:val="24"/>
          <w:szCs w:val="24"/>
          <w:lang w:eastAsia="pl-PL"/>
        </w:rPr>
        <w:t>tj</w:t>
      </w:r>
      <w:proofErr w:type="gramEnd"/>
      <w:r w:rsidRPr="003260BC">
        <w:rPr>
          <w:rFonts w:ascii="inherit" w:eastAsia="Times New Roman" w:hAnsi="inherit" w:cs="Times New Roman"/>
          <w:color w:val="1B1B1B"/>
          <w:sz w:val="24"/>
          <w:szCs w:val="24"/>
          <w:lang w:eastAsia="pl-PL"/>
        </w:rPr>
        <w:t>. towarów albo usług, wskazanych w art. 8 ust. 1 i 2 ustawy nowelizującej z 9 sierpnia 2019 r.</w:t>
      </w:r>
    </w:p>
    <w:p w:rsidR="003260BC" w:rsidRPr="003260BC" w:rsidRDefault="003260BC" w:rsidP="003260BC">
      <w:pPr>
        <w:spacing w:before="408" w:after="144" w:line="240" w:lineRule="auto"/>
        <w:textAlignment w:val="baseline"/>
        <w:outlineLvl w:val="2"/>
        <w:rPr>
          <w:rFonts w:ascii="inherit" w:eastAsia="Times New Roman" w:hAnsi="inherit" w:cs="Times New Roman"/>
          <w:b/>
          <w:bCs/>
          <w:color w:val="1B1B1B"/>
          <w:sz w:val="39"/>
          <w:szCs w:val="39"/>
          <w:lang w:eastAsia="pl-PL"/>
        </w:rPr>
      </w:pPr>
      <w:r w:rsidRPr="003260BC">
        <w:rPr>
          <w:rFonts w:ascii="inherit" w:eastAsia="Times New Roman" w:hAnsi="inherit" w:cs="Times New Roman"/>
          <w:b/>
          <w:bCs/>
          <w:color w:val="1B1B1B"/>
          <w:sz w:val="39"/>
          <w:szCs w:val="39"/>
          <w:lang w:eastAsia="pl-PL"/>
        </w:rPr>
        <w:t xml:space="preserve">Kto wydaje </w:t>
      </w:r>
      <w:proofErr w:type="gramStart"/>
      <w:r w:rsidRPr="003260BC">
        <w:rPr>
          <w:rFonts w:ascii="inherit" w:eastAsia="Times New Roman" w:hAnsi="inherit" w:cs="Times New Roman"/>
          <w:b/>
          <w:bCs/>
          <w:color w:val="1B1B1B"/>
          <w:sz w:val="39"/>
          <w:szCs w:val="39"/>
          <w:lang w:eastAsia="pl-PL"/>
        </w:rPr>
        <w:t>WIS</w:t>
      </w:r>
      <w:proofErr w:type="gramEnd"/>
    </w:p>
    <w:p w:rsidR="003260BC" w:rsidRPr="003260BC" w:rsidRDefault="003260BC" w:rsidP="003260BC">
      <w:pPr>
        <w:spacing w:after="24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Dyrektor Krajowej Informacji Skarbowej (</w:t>
      </w:r>
      <w:proofErr w:type="spellStart"/>
      <w:r w:rsidRPr="003260BC">
        <w:rPr>
          <w:rFonts w:ascii="inherit" w:eastAsia="Times New Roman" w:hAnsi="inherit" w:cs="Times New Roman"/>
          <w:color w:val="1B1B1B"/>
          <w:sz w:val="24"/>
          <w:szCs w:val="24"/>
          <w:lang w:eastAsia="pl-PL"/>
        </w:rPr>
        <w:t>KIS</w:t>
      </w:r>
      <w:proofErr w:type="spellEnd"/>
      <w:r w:rsidRPr="003260BC">
        <w:rPr>
          <w:rFonts w:ascii="inherit" w:eastAsia="Times New Roman" w:hAnsi="inherit" w:cs="Times New Roman"/>
          <w:color w:val="1B1B1B"/>
          <w:sz w:val="24"/>
          <w:szCs w:val="24"/>
          <w:lang w:eastAsia="pl-PL"/>
        </w:rPr>
        <w:t>) w terminie zasadniczo nie dłuższym niż 3 miesiące.</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t>Wniosek o wydanie WIS powinien dotyczyć 1 towaru albo 1 usługi albo kilku towarów/usług, które w ocenie wnioskodawcy stanowią jedno świadczenie.</w:t>
      </w:r>
    </w:p>
    <w:p w:rsidR="003260BC" w:rsidRPr="003260BC" w:rsidRDefault="003260BC" w:rsidP="003260BC">
      <w:pPr>
        <w:spacing w:before="408" w:after="144" w:line="240" w:lineRule="auto"/>
        <w:textAlignment w:val="baseline"/>
        <w:outlineLvl w:val="2"/>
        <w:rPr>
          <w:rFonts w:ascii="inherit" w:eastAsia="Times New Roman" w:hAnsi="inherit" w:cs="Times New Roman"/>
          <w:b/>
          <w:bCs/>
          <w:color w:val="1B1B1B"/>
          <w:sz w:val="39"/>
          <w:szCs w:val="39"/>
          <w:lang w:eastAsia="pl-PL"/>
        </w:rPr>
      </w:pPr>
      <w:r w:rsidRPr="003260BC">
        <w:rPr>
          <w:rFonts w:ascii="inherit" w:eastAsia="Times New Roman" w:hAnsi="inherit" w:cs="Times New Roman"/>
          <w:b/>
          <w:bCs/>
          <w:color w:val="1B1B1B"/>
          <w:sz w:val="39"/>
          <w:szCs w:val="39"/>
          <w:lang w:eastAsia="pl-PL"/>
        </w:rPr>
        <w:t>Ile kosztuje WIS</w:t>
      </w:r>
    </w:p>
    <w:p w:rsidR="003260BC" w:rsidRP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color w:val="1B1B1B"/>
          <w:sz w:val="24"/>
          <w:szCs w:val="24"/>
          <w:lang w:eastAsia="pl-PL"/>
        </w:rPr>
        <w:t>Opłata za wniosek o wydanie WIS wynosi 40 zł.</w:t>
      </w:r>
      <w:r w:rsidRPr="003260BC">
        <w:rPr>
          <w:rFonts w:ascii="inherit" w:eastAsia="Times New Roman" w:hAnsi="inherit" w:cs="Times New Roman"/>
          <w:color w:val="1B1B1B"/>
          <w:sz w:val="24"/>
          <w:szCs w:val="24"/>
          <w:lang w:eastAsia="pl-PL"/>
        </w:rPr>
        <w:br/>
        <w:t>W przypadku świadczenia składającego się – w ocenie wnioskodawcy – z kilku towarów/usług – opłata ta stanowi iloczyn 40 zł i liczby tych towarów/usług. Jeśli będzie konieczne przeprowadzenie dodatkowych badań lub analiz towarów lub usług, które są przedmiotem wniosku, wnioskodawca będzie musiał pokryć koszty tych badań lub analiz.</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t>W zakresie objętym WIS nie będą wydawane interpretacje indywidualne [12].</w:t>
      </w:r>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r>
      <w:r w:rsidRPr="003260BC">
        <w:rPr>
          <w:rFonts w:ascii="inherit" w:eastAsia="Times New Roman" w:hAnsi="inherit" w:cs="Times New Roman"/>
          <w:b/>
          <w:bCs/>
          <w:color w:val="1B1B1B"/>
          <w:sz w:val="24"/>
          <w:szCs w:val="24"/>
          <w:lang w:eastAsia="pl-PL"/>
        </w:rPr>
        <w:t>UWAGA!</w:t>
      </w:r>
      <w:r w:rsidRPr="003260BC">
        <w:rPr>
          <w:rFonts w:ascii="inherit" w:eastAsia="Times New Roman" w:hAnsi="inherit" w:cs="Times New Roman"/>
          <w:b/>
          <w:bCs/>
          <w:color w:val="1B1B1B"/>
          <w:sz w:val="24"/>
          <w:szCs w:val="24"/>
          <w:lang w:eastAsia="pl-PL"/>
        </w:rPr>
        <w:br/>
        <w:t xml:space="preserve">Szczegółowe informacje dotyczące </w:t>
      </w:r>
      <w:hyperlink r:id="rId12" w:history="1">
        <w:r w:rsidRPr="003260BC">
          <w:rPr>
            <w:rFonts w:ascii="inherit" w:eastAsia="Times New Roman" w:hAnsi="inherit" w:cs="Times New Roman"/>
            <w:b/>
            <w:bCs/>
            <w:color w:val="0052A5"/>
            <w:sz w:val="24"/>
            <w:szCs w:val="24"/>
            <w:u w:val="single"/>
            <w:lang w:eastAsia="pl-PL"/>
          </w:rPr>
          <w:t>procedury wydawania WIS i interaktywny wniosek o wydanie WIS wraz z instrukcją jego wypełnienia znajdziesz na stronie Krajowej Informacji Skarbowej.</w:t>
        </w:r>
      </w:hyperlink>
    </w:p>
    <w:p w:rsidR="003260BC" w:rsidRDefault="003260BC" w:rsidP="003260BC">
      <w:pPr>
        <w:spacing w:after="0" w:line="240" w:lineRule="auto"/>
        <w:textAlignment w:val="baseline"/>
        <w:rPr>
          <w:rFonts w:ascii="inherit" w:eastAsia="Times New Roman" w:hAnsi="inherit" w:cs="Times New Roman"/>
          <w:color w:val="1B1B1B"/>
          <w:sz w:val="24"/>
          <w:szCs w:val="24"/>
          <w:lang w:eastAsia="pl-PL"/>
        </w:rPr>
      </w:pPr>
      <w:r w:rsidRPr="003260BC">
        <w:rPr>
          <w:rFonts w:ascii="inherit" w:eastAsia="Times New Roman" w:hAnsi="inherit" w:cs="Times New Roman"/>
          <w:b/>
          <w:bCs/>
          <w:color w:val="1B1B1B"/>
          <w:sz w:val="24"/>
          <w:szCs w:val="24"/>
          <w:lang w:eastAsia="pl-PL"/>
        </w:rPr>
        <w:t xml:space="preserve">Więcej informacji o zmianach w klasyfikacji stawek VAT i o WIS znajdziesz na </w:t>
      </w:r>
      <w:hyperlink r:id="rId13" w:history="1">
        <w:r w:rsidRPr="003260BC">
          <w:rPr>
            <w:rFonts w:ascii="inherit" w:eastAsia="Times New Roman" w:hAnsi="inherit" w:cs="Times New Roman"/>
            <w:b/>
            <w:bCs/>
            <w:color w:val="0052A5"/>
            <w:sz w:val="24"/>
            <w:szCs w:val="24"/>
            <w:u w:val="single"/>
            <w:lang w:eastAsia="pl-PL"/>
          </w:rPr>
          <w:t>Portalu Podatkowym w zakładce Matryca stawek VAT.</w:t>
        </w:r>
      </w:hyperlink>
      <w:r w:rsidRPr="003260BC">
        <w:rPr>
          <w:rFonts w:ascii="inherit" w:eastAsia="Times New Roman" w:hAnsi="inherit" w:cs="Times New Roman"/>
          <w:color w:val="1B1B1B"/>
          <w:sz w:val="24"/>
          <w:szCs w:val="24"/>
          <w:lang w:eastAsia="pl-PL"/>
        </w:rPr>
        <w:br/>
        <w:t> </w:t>
      </w:r>
      <w:r w:rsidRPr="003260BC">
        <w:rPr>
          <w:rFonts w:ascii="inherit" w:eastAsia="Times New Roman" w:hAnsi="inherit" w:cs="Times New Roman"/>
          <w:color w:val="1B1B1B"/>
          <w:sz w:val="24"/>
          <w:szCs w:val="24"/>
          <w:lang w:eastAsia="pl-PL"/>
        </w:rPr>
        <w:br/>
      </w:r>
      <w:r w:rsidRPr="003260BC">
        <w:rPr>
          <w:rFonts w:ascii="inherit" w:eastAsia="Times New Roman" w:hAnsi="inherit" w:cs="Times New Roman"/>
          <w:color w:val="1B1B1B"/>
          <w:sz w:val="24"/>
          <w:szCs w:val="24"/>
          <w:lang w:eastAsia="pl-PL"/>
        </w:rPr>
        <w:lastRenderedPageBreak/>
        <w:br/>
        <w:t xml:space="preserve">[1] </w:t>
      </w:r>
      <w:proofErr w:type="gramStart"/>
      <w:r w:rsidRPr="003260BC">
        <w:rPr>
          <w:rFonts w:ascii="inherit" w:eastAsia="Times New Roman" w:hAnsi="inherit" w:cs="Times New Roman"/>
          <w:color w:val="1B1B1B"/>
          <w:sz w:val="24"/>
          <w:szCs w:val="24"/>
          <w:lang w:eastAsia="pl-PL"/>
        </w:rPr>
        <w:t>zgodnie</w:t>
      </w:r>
      <w:proofErr w:type="gramEnd"/>
      <w:r w:rsidRPr="003260BC">
        <w:rPr>
          <w:rFonts w:ascii="inherit" w:eastAsia="Times New Roman" w:hAnsi="inherit" w:cs="Times New Roman"/>
          <w:color w:val="1B1B1B"/>
          <w:sz w:val="24"/>
          <w:szCs w:val="24"/>
          <w:lang w:eastAsia="pl-PL"/>
        </w:rPr>
        <w:t xml:space="preserve"> z ustawą z dnia 9 sierpnia 2019 r. o zmianie ustawy o podatku od towarów i usług oraz niektórych innych ustaw (Dz. U. poz</w:t>
      </w:r>
      <w:proofErr w:type="gramStart"/>
      <w:r w:rsidRPr="003260BC">
        <w:rPr>
          <w:rFonts w:ascii="inherit" w:eastAsia="Times New Roman" w:hAnsi="inherit" w:cs="Times New Roman"/>
          <w:color w:val="1B1B1B"/>
          <w:sz w:val="24"/>
          <w:szCs w:val="24"/>
          <w:lang w:eastAsia="pl-PL"/>
        </w:rPr>
        <w:t>. 1751)</w:t>
      </w:r>
      <w:r w:rsidRPr="003260BC">
        <w:rPr>
          <w:rFonts w:ascii="inherit" w:eastAsia="Times New Roman" w:hAnsi="inherit" w:cs="Times New Roman"/>
          <w:color w:val="1B1B1B"/>
          <w:sz w:val="24"/>
          <w:szCs w:val="24"/>
          <w:lang w:eastAsia="pl-PL"/>
        </w:rPr>
        <w:br/>
        <w:t>[2] ustawa</w:t>
      </w:r>
      <w:proofErr w:type="gramEnd"/>
      <w:r w:rsidRPr="003260BC">
        <w:rPr>
          <w:rFonts w:ascii="inherit" w:eastAsia="Times New Roman" w:hAnsi="inherit" w:cs="Times New Roman"/>
          <w:color w:val="1B1B1B"/>
          <w:sz w:val="24"/>
          <w:szCs w:val="24"/>
          <w:lang w:eastAsia="pl-PL"/>
        </w:rPr>
        <w:t xml:space="preserve"> z dnia 11 marca 2004 r. o podatku od towarów i usług (Dz. U. </w:t>
      </w:r>
      <w:proofErr w:type="gramStart"/>
      <w:r w:rsidRPr="003260BC">
        <w:rPr>
          <w:rFonts w:ascii="inherit" w:eastAsia="Times New Roman" w:hAnsi="inherit" w:cs="Times New Roman"/>
          <w:color w:val="1B1B1B"/>
          <w:sz w:val="24"/>
          <w:szCs w:val="24"/>
          <w:lang w:eastAsia="pl-PL"/>
        </w:rPr>
        <w:t>z</w:t>
      </w:r>
      <w:proofErr w:type="gramEnd"/>
      <w:r w:rsidRPr="003260BC">
        <w:rPr>
          <w:rFonts w:ascii="inherit" w:eastAsia="Times New Roman" w:hAnsi="inherit" w:cs="Times New Roman"/>
          <w:color w:val="1B1B1B"/>
          <w:sz w:val="24"/>
          <w:szCs w:val="24"/>
          <w:lang w:eastAsia="pl-PL"/>
        </w:rPr>
        <w:t xml:space="preserve"> 2018 r. poz. 2174, z </w:t>
      </w:r>
      <w:proofErr w:type="spellStart"/>
      <w:r w:rsidRPr="003260BC">
        <w:rPr>
          <w:rFonts w:ascii="inherit" w:eastAsia="Times New Roman" w:hAnsi="inherit" w:cs="Times New Roman"/>
          <w:color w:val="1B1B1B"/>
          <w:sz w:val="24"/>
          <w:szCs w:val="24"/>
          <w:lang w:eastAsia="pl-PL"/>
        </w:rPr>
        <w:t>późn</w:t>
      </w:r>
      <w:proofErr w:type="spellEnd"/>
      <w:r w:rsidRPr="003260BC">
        <w:rPr>
          <w:rFonts w:ascii="inherit" w:eastAsia="Times New Roman" w:hAnsi="inherit" w:cs="Times New Roman"/>
          <w:color w:val="1B1B1B"/>
          <w:sz w:val="24"/>
          <w:szCs w:val="24"/>
          <w:lang w:eastAsia="pl-PL"/>
        </w:rPr>
        <w:t>. zm</w:t>
      </w:r>
      <w:proofErr w:type="gramStart"/>
      <w:r w:rsidRPr="003260BC">
        <w:rPr>
          <w:rFonts w:ascii="inherit" w:eastAsia="Times New Roman" w:hAnsi="inherit" w:cs="Times New Roman"/>
          <w:color w:val="1B1B1B"/>
          <w:sz w:val="24"/>
          <w:szCs w:val="24"/>
          <w:lang w:eastAsia="pl-PL"/>
        </w:rPr>
        <w:t>.)</w:t>
      </w:r>
      <w:r w:rsidRPr="003260BC">
        <w:rPr>
          <w:rFonts w:ascii="inherit" w:eastAsia="Times New Roman" w:hAnsi="inherit" w:cs="Times New Roman"/>
          <w:color w:val="1B1B1B"/>
          <w:sz w:val="24"/>
          <w:szCs w:val="24"/>
          <w:lang w:eastAsia="pl-PL"/>
        </w:rPr>
        <w:br/>
        <w:t>[3] Nomenklatura</w:t>
      </w:r>
      <w:proofErr w:type="gramEnd"/>
      <w:r w:rsidRPr="003260BC">
        <w:rPr>
          <w:rFonts w:ascii="inherit" w:eastAsia="Times New Roman" w:hAnsi="inherit" w:cs="Times New Roman"/>
          <w:color w:val="1B1B1B"/>
          <w:sz w:val="24"/>
          <w:szCs w:val="24"/>
          <w:lang w:eastAsia="pl-PL"/>
        </w:rPr>
        <w:t xml:space="preserve"> scalona (</w:t>
      </w:r>
      <w:proofErr w:type="spellStart"/>
      <w:r w:rsidRPr="003260BC">
        <w:rPr>
          <w:rFonts w:ascii="inherit" w:eastAsia="Times New Roman" w:hAnsi="inherit" w:cs="Times New Roman"/>
          <w:color w:val="1B1B1B"/>
          <w:sz w:val="24"/>
          <w:szCs w:val="24"/>
          <w:lang w:eastAsia="pl-PL"/>
        </w:rPr>
        <w:t>CN</w:t>
      </w:r>
      <w:proofErr w:type="spellEnd"/>
      <w:r w:rsidRPr="003260BC">
        <w:rPr>
          <w:rFonts w:ascii="inherit" w:eastAsia="Times New Roman" w:hAnsi="inherit" w:cs="Times New Roman"/>
          <w:color w:val="1B1B1B"/>
          <w:sz w:val="24"/>
          <w:szCs w:val="24"/>
          <w:lang w:eastAsia="pl-PL"/>
        </w:rPr>
        <w:t>) albo Polska Klasyfikacja Obiektów Budowlanych (</w:t>
      </w:r>
      <w:proofErr w:type="spellStart"/>
      <w:r w:rsidRPr="003260BC">
        <w:rPr>
          <w:rFonts w:ascii="inherit" w:eastAsia="Times New Roman" w:hAnsi="inherit" w:cs="Times New Roman"/>
          <w:color w:val="1B1B1B"/>
          <w:sz w:val="24"/>
          <w:szCs w:val="24"/>
          <w:lang w:eastAsia="pl-PL"/>
        </w:rPr>
        <w:t>PKOB</w:t>
      </w:r>
      <w:proofErr w:type="spellEnd"/>
      <w:r w:rsidRPr="003260BC">
        <w:rPr>
          <w:rFonts w:ascii="inherit" w:eastAsia="Times New Roman" w:hAnsi="inherit" w:cs="Times New Roman"/>
          <w:color w:val="1B1B1B"/>
          <w:sz w:val="24"/>
          <w:szCs w:val="24"/>
          <w:lang w:eastAsia="pl-PL"/>
        </w:rPr>
        <w:t>) – w odniesieniu do towarów, aktualna Polska Klasyfikacja Wyrobów i Usług (PKWiU) – w odniesieniu do usług.</w:t>
      </w:r>
      <w:r w:rsidRPr="003260BC">
        <w:rPr>
          <w:rFonts w:ascii="inherit" w:eastAsia="Times New Roman" w:hAnsi="inherit" w:cs="Times New Roman"/>
          <w:color w:val="1B1B1B"/>
          <w:sz w:val="24"/>
          <w:szCs w:val="24"/>
          <w:lang w:eastAsia="pl-PL"/>
        </w:rPr>
        <w:br/>
        <w:t xml:space="preserve">[4] </w:t>
      </w:r>
      <w:proofErr w:type="gramStart"/>
      <w:r w:rsidRPr="003260BC">
        <w:rPr>
          <w:rFonts w:ascii="inherit" w:eastAsia="Times New Roman" w:hAnsi="inherit" w:cs="Times New Roman"/>
          <w:color w:val="1B1B1B"/>
          <w:sz w:val="24"/>
          <w:szCs w:val="24"/>
          <w:lang w:eastAsia="pl-PL"/>
        </w:rPr>
        <w:t>art</w:t>
      </w:r>
      <w:proofErr w:type="gramEnd"/>
      <w:r w:rsidRPr="003260BC">
        <w:rPr>
          <w:rFonts w:ascii="inherit" w:eastAsia="Times New Roman" w:hAnsi="inherit" w:cs="Times New Roman"/>
          <w:color w:val="1B1B1B"/>
          <w:sz w:val="24"/>
          <w:szCs w:val="24"/>
          <w:lang w:eastAsia="pl-PL"/>
        </w:rPr>
        <w:t xml:space="preserve">. </w:t>
      </w:r>
      <w:proofErr w:type="spellStart"/>
      <w:r w:rsidRPr="003260BC">
        <w:rPr>
          <w:rFonts w:ascii="inherit" w:eastAsia="Times New Roman" w:hAnsi="inherit" w:cs="Times New Roman"/>
          <w:color w:val="1B1B1B"/>
          <w:sz w:val="24"/>
          <w:szCs w:val="24"/>
          <w:lang w:eastAsia="pl-PL"/>
        </w:rPr>
        <w:t>42a</w:t>
      </w:r>
      <w:proofErr w:type="spellEnd"/>
      <w:r w:rsidRPr="003260BC">
        <w:rPr>
          <w:rFonts w:ascii="inherit" w:eastAsia="Times New Roman" w:hAnsi="inherit" w:cs="Times New Roman"/>
          <w:color w:val="1B1B1B"/>
          <w:sz w:val="24"/>
          <w:szCs w:val="24"/>
          <w:lang w:eastAsia="pl-PL"/>
        </w:rPr>
        <w:t xml:space="preserve"> ustawy o VAT</w:t>
      </w:r>
      <w:r w:rsidRPr="003260BC">
        <w:rPr>
          <w:rFonts w:ascii="inherit" w:eastAsia="Times New Roman" w:hAnsi="inherit" w:cs="Times New Roman"/>
          <w:color w:val="1B1B1B"/>
          <w:sz w:val="24"/>
          <w:szCs w:val="24"/>
          <w:lang w:eastAsia="pl-PL"/>
        </w:rPr>
        <w:br/>
        <w:t xml:space="preserve">[5] art. </w:t>
      </w:r>
      <w:proofErr w:type="spellStart"/>
      <w:r w:rsidRPr="003260BC">
        <w:rPr>
          <w:rFonts w:ascii="inherit" w:eastAsia="Times New Roman" w:hAnsi="inherit" w:cs="Times New Roman"/>
          <w:color w:val="1B1B1B"/>
          <w:sz w:val="24"/>
          <w:szCs w:val="24"/>
          <w:lang w:eastAsia="pl-PL"/>
        </w:rPr>
        <w:t>42c</w:t>
      </w:r>
      <w:proofErr w:type="spellEnd"/>
      <w:r w:rsidRPr="003260BC">
        <w:rPr>
          <w:rFonts w:ascii="inherit" w:eastAsia="Times New Roman" w:hAnsi="inherit" w:cs="Times New Roman"/>
          <w:color w:val="1B1B1B"/>
          <w:sz w:val="24"/>
          <w:szCs w:val="24"/>
          <w:lang w:eastAsia="pl-PL"/>
        </w:rPr>
        <w:t xml:space="preserve"> ust. 1 ustawy o VAT</w:t>
      </w:r>
      <w:r w:rsidRPr="003260BC">
        <w:rPr>
          <w:rFonts w:ascii="inherit" w:eastAsia="Times New Roman" w:hAnsi="inherit" w:cs="Times New Roman"/>
          <w:color w:val="1B1B1B"/>
          <w:sz w:val="24"/>
          <w:szCs w:val="24"/>
          <w:lang w:eastAsia="pl-PL"/>
        </w:rPr>
        <w:br/>
        <w:t xml:space="preserve">[6] art. </w:t>
      </w:r>
      <w:proofErr w:type="spellStart"/>
      <w:r w:rsidRPr="003260BC">
        <w:rPr>
          <w:rFonts w:ascii="inherit" w:eastAsia="Times New Roman" w:hAnsi="inherit" w:cs="Times New Roman"/>
          <w:color w:val="1B1B1B"/>
          <w:sz w:val="24"/>
          <w:szCs w:val="24"/>
          <w:lang w:eastAsia="pl-PL"/>
        </w:rPr>
        <w:t>42c</w:t>
      </w:r>
      <w:proofErr w:type="spellEnd"/>
      <w:r w:rsidRPr="003260BC">
        <w:rPr>
          <w:rFonts w:ascii="inherit" w:eastAsia="Times New Roman" w:hAnsi="inherit" w:cs="Times New Roman"/>
          <w:color w:val="1B1B1B"/>
          <w:sz w:val="24"/>
          <w:szCs w:val="24"/>
          <w:lang w:eastAsia="pl-PL"/>
        </w:rPr>
        <w:t xml:space="preserve"> ust 3 pkt 1 ustawy o VAT</w:t>
      </w:r>
      <w:r w:rsidRPr="003260BC">
        <w:rPr>
          <w:rFonts w:ascii="inherit" w:eastAsia="Times New Roman" w:hAnsi="inherit" w:cs="Times New Roman"/>
          <w:color w:val="1B1B1B"/>
          <w:sz w:val="24"/>
          <w:szCs w:val="24"/>
          <w:lang w:eastAsia="pl-PL"/>
        </w:rPr>
        <w:br/>
        <w:t xml:space="preserve">[7] art. </w:t>
      </w:r>
      <w:proofErr w:type="spellStart"/>
      <w:r w:rsidRPr="003260BC">
        <w:rPr>
          <w:rFonts w:ascii="inherit" w:eastAsia="Times New Roman" w:hAnsi="inherit" w:cs="Times New Roman"/>
          <w:color w:val="1B1B1B"/>
          <w:sz w:val="24"/>
          <w:szCs w:val="24"/>
          <w:lang w:eastAsia="pl-PL"/>
        </w:rPr>
        <w:t>14b</w:t>
      </w:r>
      <w:proofErr w:type="spellEnd"/>
      <w:r w:rsidRPr="003260BC">
        <w:rPr>
          <w:rFonts w:ascii="inherit" w:eastAsia="Times New Roman" w:hAnsi="inherit" w:cs="Times New Roman"/>
          <w:color w:val="1B1B1B"/>
          <w:sz w:val="24"/>
          <w:szCs w:val="24"/>
          <w:lang w:eastAsia="pl-PL"/>
        </w:rPr>
        <w:t xml:space="preserve"> – </w:t>
      </w:r>
      <w:proofErr w:type="spellStart"/>
      <w:r w:rsidRPr="003260BC">
        <w:rPr>
          <w:rFonts w:ascii="inherit" w:eastAsia="Times New Roman" w:hAnsi="inherit" w:cs="Times New Roman"/>
          <w:color w:val="1B1B1B"/>
          <w:sz w:val="24"/>
          <w:szCs w:val="24"/>
          <w:lang w:eastAsia="pl-PL"/>
        </w:rPr>
        <w:t>14s</w:t>
      </w:r>
      <w:proofErr w:type="spellEnd"/>
      <w:r w:rsidRPr="003260BC">
        <w:rPr>
          <w:rFonts w:ascii="inherit" w:eastAsia="Times New Roman" w:hAnsi="inherit" w:cs="Times New Roman"/>
          <w:color w:val="1B1B1B"/>
          <w:sz w:val="24"/>
          <w:szCs w:val="24"/>
          <w:lang w:eastAsia="pl-PL"/>
        </w:rPr>
        <w:t xml:space="preserve"> ustawy z dnia 29 sierpnia 1997 r. Ordynacja podatkowa (Dz. U. </w:t>
      </w:r>
      <w:proofErr w:type="gramStart"/>
      <w:r w:rsidRPr="003260BC">
        <w:rPr>
          <w:rFonts w:ascii="inherit" w:eastAsia="Times New Roman" w:hAnsi="inherit" w:cs="Times New Roman"/>
          <w:color w:val="1B1B1B"/>
          <w:sz w:val="24"/>
          <w:szCs w:val="24"/>
          <w:lang w:eastAsia="pl-PL"/>
        </w:rPr>
        <w:t>z</w:t>
      </w:r>
      <w:proofErr w:type="gramEnd"/>
      <w:r w:rsidRPr="003260BC">
        <w:rPr>
          <w:rFonts w:ascii="inherit" w:eastAsia="Times New Roman" w:hAnsi="inherit" w:cs="Times New Roman"/>
          <w:color w:val="1B1B1B"/>
          <w:sz w:val="24"/>
          <w:szCs w:val="24"/>
          <w:lang w:eastAsia="pl-PL"/>
        </w:rPr>
        <w:t xml:space="preserve"> 2019 r. poz. 900, z </w:t>
      </w:r>
      <w:proofErr w:type="spellStart"/>
      <w:r w:rsidRPr="003260BC">
        <w:rPr>
          <w:rFonts w:ascii="inherit" w:eastAsia="Times New Roman" w:hAnsi="inherit" w:cs="Times New Roman"/>
          <w:color w:val="1B1B1B"/>
          <w:sz w:val="24"/>
          <w:szCs w:val="24"/>
          <w:lang w:eastAsia="pl-PL"/>
        </w:rPr>
        <w:t>późn</w:t>
      </w:r>
      <w:proofErr w:type="spellEnd"/>
      <w:r w:rsidRPr="003260BC">
        <w:rPr>
          <w:rFonts w:ascii="inherit" w:eastAsia="Times New Roman" w:hAnsi="inherit" w:cs="Times New Roman"/>
          <w:color w:val="1B1B1B"/>
          <w:sz w:val="24"/>
          <w:szCs w:val="24"/>
          <w:lang w:eastAsia="pl-PL"/>
        </w:rPr>
        <w:t>. zm</w:t>
      </w:r>
      <w:proofErr w:type="gramStart"/>
      <w:r w:rsidRPr="003260BC">
        <w:rPr>
          <w:rFonts w:ascii="inherit" w:eastAsia="Times New Roman" w:hAnsi="inherit" w:cs="Times New Roman"/>
          <w:color w:val="1B1B1B"/>
          <w:sz w:val="24"/>
          <w:szCs w:val="24"/>
          <w:lang w:eastAsia="pl-PL"/>
        </w:rPr>
        <w:t>.)</w:t>
      </w:r>
      <w:r w:rsidRPr="003260BC">
        <w:rPr>
          <w:rFonts w:ascii="inherit" w:eastAsia="Times New Roman" w:hAnsi="inherit" w:cs="Times New Roman"/>
          <w:color w:val="1B1B1B"/>
          <w:sz w:val="24"/>
          <w:szCs w:val="24"/>
          <w:lang w:eastAsia="pl-PL"/>
        </w:rPr>
        <w:br/>
        <w:t>[8] art</w:t>
      </w:r>
      <w:proofErr w:type="gramEnd"/>
      <w:r w:rsidRPr="003260BC">
        <w:rPr>
          <w:rFonts w:ascii="inherit" w:eastAsia="Times New Roman" w:hAnsi="inherit" w:cs="Times New Roman"/>
          <w:color w:val="1B1B1B"/>
          <w:sz w:val="24"/>
          <w:szCs w:val="24"/>
          <w:lang w:eastAsia="pl-PL"/>
        </w:rPr>
        <w:t xml:space="preserve">. </w:t>
      </w:r>
      <w:proofErr w:type="spellStart"/>
      <w:r w:rsidRPr="003260BC">
        <w:rPr>
          <w:rFonts w:ascii="inherit" w:eastAsia="Times New Roman" w:hAnsi="inherit" w:cs="Times New Roman"/>
          <w:color w:val="1B1B1B"/>
          <w:sz w:val="24"/>
          <w:szCs w:val="24"/>
          <w:lang w:eastAsia="pl-PL"/>
        </w:rPr>
        <w:t>42c</w:t>
      </w:r>
      <w:proofErr w:type="spellEnd"/>
      <w:r w:rsidRPr="003260BC">
        <w:rPr>
          <w:rFonts w:ascii="inherit" w:eastAsia="Times New Roman" w:hAnsi="inherit" w:cs="Times New Roman"/>
          <w:color w:val="1B1B1B"/>
          <w:sz w:val="24"/>
          <w:szCs w:val="24"/>
          <w:lang w:eastAsia="pl-PL"/>
        </w:rPr>
        <w:t xml:space="preserve"> ust. 3 pkt 2 ustawy o VAT</w:t>
      </w:r>
      <w:r w:rsidRPr="003260BC">
        <w:rPr>
          <w:rFonts w:ascii="inherit" w:eastAsia="Times New Roman" w:hAnsi="inherit" w:cs="Times New Roman"/>
          <w:color w:val="1B1B1B"/>
          <w:sz w:val="24"/>
          <w:szCs w:val="24"/>
          <w:lang w:eastAsia="pl-PL"/>
        </w:rPr>
        <w:br/>
        <w:t xml:space="preserve">[9] ustawa z dnia 6 grudnia 2008 r. o podatku akcyzowym (Dz. U. </w:t>
      </w:r>
      <w:proofErr w:type="gramStart"/>
      <w:r w:rsidRPr="003260BC">
        <w:rPr>
          <w:rFonts w:ascii="inherit" w:eastAsia="Times New Roman" w:hAnsi="inherit" w:cs="Times New Roman"/>
          <w:color w:val="1B1B1B"/>
          <w:sz w:val="24"/>
          <w:szCs w:val="24"/>
          <w:lang w:eastAsia="pl-PL"/>
        </w:rPr>
        <w:t>z</w:t>
      </w:r>
      <w:proofErr w:type="gramEnd"/>
      <w:r w:rsidRPr="003260BC">
        <w:rPr>
          <w:rFonts w:ascii="inherit" w:eastAsia="Times New Roman" w:hAnsi="inherit" w:cs="Times New Roman"/>
          <w:color w:val="1B1B1B"/>
          <w:sz w:val="24"/>
          <w:szCs w:val="24"/>
          <w:lang w:eastAsia="pl-PL"/>
        </w:rPr>
        <w:t xml:space="preserve"> 2019 r. poz. 864, z </w:t>
      </w:r>
      <w:proofErr w:type="spellStart"/>
      <w:r w:rsidRPr="003260BC">
        <w:rPr>
          <w:rFonts w:ascii="inherit" w:eastAsia="Times New Roman" w:hAnsi="inherit" w:cs="Times New Roman"/>
          <w:color w:val="1B1B1B"/>
          <w:sz w:val="24"/>
          <w:szCs w:val="24"/>
          <w:lang w:eastAsia="pl-PL"/>
        </w:rPr>
        <w:t>późn</w:t>
      </w:r>
      <w:proofErr w:type="spellEnd"/>
      <w:r w:rsidRPr="003260BC">
        <w:rPr>
          <w:rFonts w:ascii="inherit" w:eastAsia="Times New Roman" w:hAnsi="inherit" w:cs="Times New Roman"/>
          <w:color w:val="1B1B1B"/>
          <w:sz w:val="24"/>
          <w:szCs w:val="24"/>
          <w:lang w:eastAsia="pl-PL"/>
        </w:rPr>
        <w:t>. zm</w:t>
      </w:r>
      <w:proofErr w:type="gramStart"/>
      <w:r w:rsidRPr="003260BC">
        <w:rPr>
          <w:rFonts w:ascii="inherit" w:eastAsia="Times New Roman" w:hAnsi="inherit" w:cs="Times New Roman"/>
          <w:color w:val="1B1B1B"/>
          <w:sz w:val="24"/>
          <w:szCs w:val="24"/>
          <w:lang w:eastAsia="pl-PL"/>
        </w:rPr>
        <w:t>.)</w:t>
      </w:r>
      <w:r w:rsidRPr="003260BC">
        <w:rPr>
          <w:rFonts w:ascii="inherit" w:eastAsia="Times New Roman" w:hAnsi="inherit" w:cs="Times New Roman"/>
          <w:color w:val="1B1B1B"/>
          <w:sz w:val="24"/>
          <w:szCs w:val="24"/>
          <w:lang w:eastAsia="pl-PL"/>
        </w:rPr>
        <w:br/>
        <w:t>[10] art</w:t>
      </w:r>
      <w:proofErr w:type="gramEnd"/>
      <w:r w:rsidRPr="003260BC">
        <w:rPr>
          <w:rFonts w:ascii="inherit" w:eastAsia="Times New Roman" w:hAnsi="inherit" w:cs="Times New Roman"/>
          <w:color w:val="1B1B1B"/>
          <w:sz w:val="24"/>
          <w:szCs w:val="24"/>
          <w:lang w:eastAsia="pl-PL"/>
        </w:rPr>
        <w:t>. 7 ust. 3 ustawy nowelizującej z 9 sierpnia 2019 r.</w:t>
      </w:r>
      <w:r w:rsidRPr="003260BC">
        <w:rPr>
          <w:rFonts w:ascii="inherit" w:eastAsia="Times New Roman" w:hAnsi="inherit" w:cs="Times New Roman"/>
          <w:color w:val="1B1B1B"/>
          <w:sz w:val="24"/>
          <w:szCs w:val="24"/>
          <w:lang w:eastAsia="pl-PL"/>
        </w:rPr>
        <w:br/>
        <w:t>[11] art. 7 ust. 4 i 5 ustawy nowelizującej z 9 sierpnia 2019 r.</w:t>
      </w:r>
      <w:r w:rsidRPr="003260BC">
        <w:rPr>
          <w:rFonts w:ascii="inherit" w:eastAsia="Times New Roman" w:hAnsi="inherit" w:cs="Times New Roman"/>
          <w:color w:val="1B1B1B"/>
          <w:sz w:val="24"/>
          <w:szCs w:val="24"/>
          <w:lang w:eastAsia="pl-PL"/>
        </w:rPr>
        <w:br/>
        <w:t xml:space="preserve">[12] art. </w:t>
      </w:r>
      <w:proofErr w:type="spellStart"/>
      <w:r w:rsidRPr="003260BC">
        <w:rPr>
          <w:rFonts w:ascii="inherit" w:eastAsia="Times New Roman" w:hAnsi="inherit" w:cs="Times New Roman"/>
          <w:color w:val="1B1B1B"/>
          <w:sz w:val="24"/>
          <w:szCs w:val="24"/>
          <w:lang w:eastAsia="pl-PL"/>
        </w:rPr>
        <w:t>14b</w:t>
      </w:r>
      <w:proofErr w:type="spellEnd"/>
      <w:r w:rsidRPr="003260BC">
        <w:rPr>
          <w:rFonts w:ascii="inherit" w:eastAsia="Times New Roman" w:hAnsi="inherit" w:cs="Times New Roman"/>
          <w:color w:val="1B1B1B"/>
          <w:sz w:val="24"/>
          <w:szCs w:val="24"/>
          <w:lang w:eastAsia="pl-PL"/>
        </w:rPr>
        <w:t xml:space="preserve"> § </w:t>
      </w:r>
      <w:proofErr w:type="spellStart"/>
      <w:r w:rsidRPr="003260BC">
        <w:rPr>
          <w:rFonts w:ascii="inherit" w:eastAsia="Times New Roman" w:hAnsi="inherit" w:cs="Times New Roman"/>
          <w:color w:val="1B1B1B"/>
          <w:sz w:val="24"/>
          <w:szCs w:val="24"/>
          <w:lang w:eastAsia="pl-PL"/>
        </w:rPr>
        <w:t>1a</w:t>
      </w:r>
      <w:proofErr w:type="spellEnd"/>
      <w:r w:rsidRPr="003260BC">
        <w:rPr>
          <w:rFonts w:ascii="inherit" w:eastAsia="Times New Roman" w:hAnsi="inherit" w:cs="Times New Roman"/>
          <w:color w:val="1B1B1B"/>
          <w:sz w:val="24"/>
          <w:szCs w:val="24"/>
          <w:lang w:eastAsia="pl-PL"/>
        </w:rPr>
        <w:t xml:space="preserve"> Ordynacji podatkowej</w:t>
      </w:r>
    </w:p>
    <w:p w:rsidR="009F5D91" w:rsidRPr="003260BC" w:rsidRDefault="009F5D91" w:rsidP="003260BC">
      <w:pPr>
        <w:spacing w:after="0" w:line="240" w:lineRule="auto"/>
        <w:textAlignment w:val="baseline"/>
        <w:rPr>
          <w:rFonts w:ascii="inherit" w:eastAsia="Times New Roman" w:hAnsi="inherit" w:cs="Times New Roman"/>
          <w:color w:val="1B1B1B"/>
          <w:sz w:val="24"/>
          <w:szCs w:val="24"/>
          <w:lang w:eastAsia="pl-PL"/>
        </w:rPr>
      </w:pPr>
    </w:p>
    <w:p w:rsidR="009F5D91" w:rsidRPr="009F5D91" w:rsidRDefault="009F5D91" w:rsidP="009F5D91">
      <w:pPr>
        <w:spacing w:before="100" w:beforeAutospacing="1" w:after="240" w:line="240" w:lineRule="auto"/>
        <w:rPr>
          <w:rFonts w:ascii="Open Sans" w:eastAsia="Times New Roman" w:hAnsi="Open Sans" w:cs="Times New Roman"/>
          <w:b/>
          <w:color w:val="1B1B1B"/>
          <w:sz w:val="24"/>
          <w:szCs w:val="24"/>
          <w:lang w:eastAsia="pl-PL"/>
        </w:rPr>
      </w:pPr>
      <w:r w:rsidRPr="009F5D91">
        <w:rPr>
          <w:rFonts w:ascii="Open Sans" w:eastAsia="Times New Roman" w:hAnsi="Open Sans" w:cs="Times New Roman"/>
          <w:b/>
          <w:color w:val="1B1B1B"/>
          <w:sz w:val="24"/>
          <w:szCs w:val="24"/>
          <w:lang w:eastAsia="pl-PL"/>
        </w:rPr>
        <w:t xml:space="preserve">Ujmowanie w kosztach podatkowych wydatków dotyczących prywatnych samochodów wspólników spółek osobowych </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Wspólnicy spółek jawnych, komandytowych czy cywilnych wykorzystują na potrzeby prowadzonej działalności gospodarczej prywatne samochody osobowe (składniki ich majątku prywatnego). Czy zaliczając do kosztów uzyskania przychodów wydatki związane z używaniem tych pojazdów do celów służbowych należy stosować limit w wysokości 20% (art. 23 ust. 1 pkt 46 ustawy o </w:t>
      </w:r>
      <w:proofErr w:type="spellStart"/>
      <w:r w:rsidRPr="009F5D91">
        <w:rPr>
          <w:rFonts w:ascii="Open Sans" w:eastAsia="Times New Roman" w:hAnsi="Open Sans" w:cs="Times New Roman"/>
          <w:color w:val="1B1B1B"/>
          <w:sz w:val="24"/>
          <w:szCs w:val="24"/>
          <w:lang w:eastAsia="pl-PL"/>
        </w:rPr>
        <w:t>PDOF</w:t>
      </w:r>
      <w:proofErr w:type="spellEnd"/>
      <w:r w:rsidRPr="009F5D91">
        <w:rPr>
          <w:rFonts w:ascii="Open Sans" w:eastAsia="Times New Roman" w:hAnsi="Open Sans" w:cs="Times New Roman"/>
          <w:color w:val="1B1B1B"/>
          <w:sz w:val="24"/>
          <w:szCs w:val="24"/>
          <w:lang w:eastAsia="pl-PL"/>
        </w:rPr>
        <w:t>), czy 75% (art. 23 ust. 1 pkt </w:t>
      </w:r>
      <w:proofErr w:type="spellStart"/>
      <w:r w:rsidRPr="009F5D91">
        <w:rPr>
          <w:rFonts w:ascii="Open Sans" w:eastAsia="Times New Roman" w:hAnsi="Open Sans" w:cs="Times New Roman"/>
          <w:color w:val="1B1B1B"/>
          <w:sz w:val="24"/>
          <w:szCs w:val="24"/>
          <w:lang w:eastAsia="pl-PL"/>
        </w:rPr>
        <w:t>46a</w:t>
      </w:r>
      <w:proofErr w:type="spellEnd"/>
      <w:r w:rsidRPr="009F5D91">
        <w:rPr>
          <w:rFonts w:ascii="Open Sans" w:eastAsia="Times New Roman" w:hAnsi="Open Sans" w:cs="Times New Roman"/>
          <w:color w:val="1B1B1B"/>
          <w:sz w:val="24"/>
          <w:szCs w:val="24"/>
          <w:lang w:eastAsia="pl-PL"/>
        </w:rPr>
        <w:t xml:space="preserve"> ustawy o </w:t>
      </w:r>
      <w:proofErr w:type="spellStart"/>
      <w:r w:rsidRPr="009F5D91">
        <w:rPr>
          <w:rFonts w:ascii="Open Sans" w:eastAsia="Times New Roman" w:hAnsi="Open Sans" w:cs="Times New Roman"/>
          <w:color w:val="1B1B1B"/>
          <w:sz w:val="24"/>
          <w:szCs w:val="24"/>
          <w:lang w:eastAsia="pl-PL"/>
        </w:rPr>
        <w:t>PDOF</w:t>
      </w:r>
      <w:proofErr w:type="spellEnd"/>
      <w:r w:rsidRPr="009F5D91">
        <w:rPr>
          <w:rFonts w:ascii="Open Sans" w:eastAsia="Times New Roman" w:hAnsi="Open Sans" w:cs="Times New Roman"/>
          <w:color w:val="1B1B1B"/>
          <w:sz w:val="24"/>
          <w:szCs w:val="24"/>
          <w:lang w:eastAsia="pl-PL"/>
        </w:rPr>
        <w:t>)?</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Z informacji telefonicznych udzielanych przez Krajową Informację Skarbową wynika, że limit w wysokości 75% ma zastosowanie tylko do w</w:t>
      </w:r>
      <w:r>
        <w:rPr>
          <w:rFonts w:ascii="Open Sans" w:eastAsia="Times New Roman" w:hAnsi="Open Sans" w:cs="Times New Roman"/>
          <w:color w:val="1B1B1B"/>
          <w:sz w:val="24"/>
          <w:szCs w:val="24"/>
          <w:lang w:eastAsia="pl-PL"/>
        </w:rPr>
        <w:t xml:space="preserve">ydatków </w:t>
      </w:r>
      <w:proofErr w:type="gramStart"/>
      <w:r>
        <w:rPr>
          <w:rFonts w:ascii="Open Sans" w:eastAsia="Times New Roman" w:hAnsi="Open Sans" w:cs="Times New Roman"/>
          <w:color w:val="1B1B1B"/>
          <w:sz w:val="24"/>
          <w:szCs w:val="24"/>
          <w:lang w:eastAsia="pl-PL"/>
        </w:rPr>
        <w:t>związanych  z</w:t>
      </w:r>
      <w:proofErr w:type="gramEnd"/>
      <w:r>
        <w:rPr>
          <w:rFonts w:ascii="Open Sans" w:eastAsia="Times New Roman" w:hAnsi="Open Sans" w:cs="Times New Roman"/>
          <w:color w:val="1B1B1B"/>
          <w:sz w:val="24"/>
          <w:szCs w:val="24"/>
          <w:lang w:eastAsia="pl-PL"/>
        </w:rPr>
        <w:t xml:space="preserve"> prywatnymi </w:t>
      </w:r>
      <w:r w:rsidRPr="009F5D91">
        <w:rPr>
          <w:rFonts w:ascii="Open Sans" w:eastAsia="Times New Roman" w:hAnsi="Open Sans" w:cs="Times New Roman"/>
          <w:color w:val="1B1B1B"/>
          <w:sz w:val="24"/>
          <w:szCs w:val="24"/>
          <w:lang w:eastAsia="pl-PL"/>
        </w:rPr>
        <w:t>samochodami osobowymi wspólników spółki cywilnej/jawnej/komandytowej, oddanych spółce we władanie, np. na podstawie umowy użyczenia. W sytuacji natomiast, gdy</w:t>
      </w:r>
      <w:r>
        <w:rPr>
          <w:rFonts w:ascii="Open Sans" w:eastAsia="Times New Roman" w:hAnsi="Open Sans" w:cs="Times New Roman"/>
          <w:color w:val="1B1B1B"/>
          <w:sz w:val="24"/>
          <w:szCs w:val="24"/>
          <w:lang w:eastAsia="pl-PL"/>
        </w:rPr>
        <w:t xml:space="preserve"> </w:t>
      </w:r>
      <w:r w:rsidRPr="009F5D91">
        <w:rPr>
          <w:rFonts w:ascii="Open Sans" w:eastAsia="Times New Roman" w:hAnsi="Open Sans" w:cs="Times New Roman"/>
          <w:color w:val="1B1B1B"/>
          <w:sz w:val="24"/>
          <w:szCs w:val="24"/>
          <w:lang w:eastAsia="pl-PL"/>
        </w:rPr>
        <w:t xml:space="preserve">samochód osobowy nie został oddany takiej spółce we władanie, stosuje się ww. limit w wysokości 20%. Zapytaliśmy Ministerstwo Finansów, czy podziela ww. stanowisko. </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Z pisma, przesłanego do naszego Wydawnictwa 29 sierpnia br., wynika, że tak. Oto treść tego pisma:</w:t>
      </w:r>
      <w:r>
        <w:rPr>
          <w:rFonts w:ascii="Open Sans" w:eastAsia="Times New Roman" w:hAnsi="Open Sans" w:cs="Times New Roman"/>
          <w:color w:val="1B1B1B"/>
          <w:sz w:val="24"/>
          <w:szCs w:val="24"/>
          <w:lang w:eastAsia="pl-PL"/>
        </w:rPr>
        <w:t xml:space="preserve"> </w:t>
      </w:r>
      <w:r w:rsidRPr="009F5D91">
        <w:rPr>
          <w:rFonts w:ascii="Open Sans" w:eastAsia="Times New Roman" w:hAnsi="Open Sans" w:cs="Times New Roman"/>
          <w:color w:val="1B1B1B"/>
          <w:sz w:val="24"/>
          <w:szCs w:val="24"/>
          <w:lang w:eastAsia="pl-PL"/>
        </w:rPr>
        <w:t xml:space="preserve">"(...) </w:t>
      </w:r>
      <w:proofErr w:type="gramStart"/>
      <w:r w:rsidRPr="009F5D91">
        <w:rPr>
          <w:rFonts w:ascii="Open Sans" w:eastAsia="Times New Roman" w:hAnsi="Open Sans" w:cs="Times New Roman"/>
          <w:color w:val="1B1B1B"/>
          <w:sz w:val="24"/>
          <w:szCs w:val="24"/>
          <w:lang w:eastAsia="pl-PL"/>
        </w:rPr>
        <w:t>stosownie</w:t>
      </w:r>
      <w:proofErr w:type="gramEnd"/>
      <w:r w:rsidRPr="009F5D91">
        <w:rPr>
          <w:rFonts w:ascii="Open Sans" w:eastAsia="Times New Roman" w:hAnsi="Open Sans" w:cs="Times New Roman"/>
          <w:color w:val="1B1B1B"/>
          <w:sz w:val="24"/>
          <w:szCs w:val="24"/>
          <w:lang w:eastAsia="pl-PL"/>
        </w:rPr>
        <w:t xml:space="preserve"> do przepisu art. 23 ust. 1 pkt 46 ustawy z dnia 26 lipca 1991 r., zwanej dalej "ustawą PIT", nie uważa się</w:t>
      </w:r>
      <w:r>
        <w:rPr>
          <w:rFonts w:ascii="Open Sans" w:eastAsia="Times New Roman" w:hAnsi="Open Sans" w:cs="Times New Roman"/>
          <w:color w:val="1B1B1B"/>
          <w:sz w:val="24"/>
          <w:szCs w:val="24"/>
          <w:lang w:eastAsia="pl-PL"/>
        </w:rPr>
        <w:t xml:space="preserve"> za koszty uzyskania przychodów </w:t>
      </w:r>
      <w:r w:rsidRPr="009F5D91">
        <w:rPr>
          <w:rFonts w:ascii="Open Sans" w:eastAsia="Times New Roman" w:hAnsi="Open Sans" w:cs="Times New Roman"/>
          <w:color w:val="1B1B1B"/>
          <w:sz w:val="24"/>
          <w:szCs w:val="24"/>
          <w:lang w:eastAsia="pl-PL"/>
        </w:rPr>
        <w:t>poniesionych wydatków z tytułu kosztów używania, stanowiącego własność podatnika prowadzącego działalność gospodarczą, samochodu osobowego niebędącego składnikiem majątku, o którym mowa w art. 14 ust. 2 pkt 1, oraz składek na u</w:t>
      </w:r>
      <w:r>
        <w:rPr>
          <w:rFonts w:ascii="Open Sans" w:eastAsia="Times New Roman" w:hAnsi="Open Sans" w:cs="Times New Roman"/>
          <w:color w:val="1B1B1B"/>
          <w:sz w:val="24"/>
          <w:szCs w:val="24"/>
          <w:lang w:eastAsia="pl-PL"/>
        </w:rPr>
        <w:t>bezpieczenie takiego samochodu.</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 xml:space="preserve">Wydatki te i składki w wysokości 20% stanowią jednak koszty uzyskania przychodów pod warunkiem, że samochód ten jest </w:t>
      </w:r>
      <w:r>
        <w:rPr>
          <w:rFonts w:ascii="Open Sans" w:eastAsia="Times New Roman" w:hAnsi="Open Sans" w:cs="Times New Roman"/>
          <w:color w:val="1B1B1B"/>
          <w:sz w:val="24"/>
          <w:szCs w:val="24"/>
          <w:lang w:eastAsia="pl-PL"/>
        </w:rPr>
        <w:t xml:space="preserve">wykorzystywany również do celów </w:t>
      </w:r>
      <w:r w:rsidRPr="009F5D91">
        <w:rPr>
          <w:rFonts w:ascii="Open Sans" w:eastAsia="Times New Roman" w:hAnsi="Open Sans" w:cs="Times New Roman"/>
          <w:color w:val="1B1B1B"/>
          <w:sz w:val="24"/>
          <w:szCs w:val="24"/>
          <w:lang w:eastAsia="pl-PL"/>
        </w:rPr>
        <w:t>związanych z działalnością gospoda</w:t>
      </w:r>
      <w:r>
        <w:rPr>
          <w:rFonts w:ascii="Open Sans" w:eastAsia="Times New Roman" w:hAnsi="Open Sans" w:cs="Times New Roman"/>
          <w:color w:val="1B1B1B"/>
          <w:sz w:val="24"/>
          <w:szCs w:val="24"/>
          <w:lang w:eastAsia="pl-PL"/>
        </w:rPr>
        <w:t>rczą prowadzoną przez podatnika.</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Natomiast zgodnie z art. 23 ust. 1 pkt </w:t>
      </w:r>
      <w:proofErr w:type="spellStart"/>
      <w:r w:rsidRPr="009F5D91">
        <w:rPr>
          <w:rFonts w:ascii="Open Sans" w:eastAsia="Times New Roman" w:hAnsi="Open Sans" w:cs="Times New Roman"/>
          <w:color w:val="1B1B1B"/>
          <w:sz w:val="24"/>
          <w:szCs w:val="24"/>
          <w:lang w:eastAsia="pl-PL"/>
        </w:rPr>
        <w:t>46a</w:t>
      </w:r>
      <w:proofErr w:type="spellEnd"/>
      <w:r w:rsidRPr="009F5D91">
        <w:rPr>
          <w:rFonts w:ascii="Open Sans" w:eastAsia="Times New Roman" w:hAnsi="Open Sans" w:cs="Times New Roman"/>
          <w:color w:val="1B1B1B"/>
          <w:sz w:val="24"/>
          <w:szCs w:val="24"/>
          <w:lang w:eastAsia="pl-PL"/>
        </w:rPr>
        <w:t xml:space="preserve"> ustawy PIT, nie uważa się za koszty uzyskania przychodów 25% poniesionych wydatków, z zastrzeżeniem pkt 36, z tytułu kosztów </w:t>
      </w:r>
      <w:r w:rsidRPr="009F5D91">
        <w:rPr>
          <w:rFonts w:ascii="Open Sans" w:eastAsia="Times New Roman" w:hAnsi="Open Sans" w:cs="Times New Roman"/>
          <w:color w:val="1B1B1B"/>
          <w:sz w:val="24"/>
          <w:szCs w:val="24"/>
          <w:lang w:eastAsia="pl-PL"/>
        </w:rPr>
        <w:lastRenderedPageBreak/>
        <w:t>używania samochodu osobowego, innego niż określony w pkt 46, na potrzeby prowadzonej przez podatnika działalności gospodarczej - jeżeli samochód osobowy jest wykorzystywany również do celów niezwiązanych z działalnością gospodarczą prowadzoną przez podatnika.</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proofErr w:type="spellStart"/>
      <w:r w:rsidRPr="009F5D91">
        <w:rPr>
          <w:rFonts w:ascii="Open Sans" w:eastAsia="Times New Roman" w:hAnsi="Open Sans" w:cs="Times New Roman"/>
          <w:color w:val="1B1B1B"/>
          <w:sz w:val="24"/>
          <w:szCs w:val="24"/>
          <w:lang w:eastAsia="pl-PL"/>
        </w:rPr>
        <w:t>MF</w:t>
      </w:r>
      <w:proofErr w:type="spellEnd"/>
      <w:r w:rsidRPr="009F5D91">
        <w:rPr>
          <w:rFonts w:ascii="Open Sans" w:eastAsia="Times New Roman" w:hAnsi="Open Sans" w:cs="Times New Roman"/>
          <w:color w:val="1B1B1B"/>
          <w:sz w:val="24"/>
          <w:szCs w:val="24"/>
          <w:lang w:eastAsia="pl-PL"/>
        </w:rPr>
        <w:t xml:space="preserve"> podziela stanowisko, że w przypadku wspólnika wykorzystującego swój prywatny samochód może zaliczyć on do kosztów podatkowych związane z tym wydatki w wysokości 20% stosownie do przepisu art. 23 ust. 1 pkt 46 ustawy PIT (podkreśl. red</w:t>
      </w:r>
      <w:proofErr w:type="gramStart"/>
      <w:r w:rsidRPr="009F5D91">
        <w:rPr>
          <w:rFonts w:ascii="Open Sans" w:eastAsia="Times New Roman" w:hAnsi="Open Sans" w:cs="Times New Roman"/>
          <w:color w:val="1B1B1B"/>
          <w:sz w:val="24"/>
          <w:szCs w:val="24"/>
          <w:lang w:eastAsia="pl-PL"/>
        </w:rPr>
        <w:t>.). W</w:t>
      </w:r>
      <w:proofErr w:type="gramEnd"/>
      <w:r w:rsidRPr="009F5D91">
        <w:rPr>
          <w:rFonts w:ascii="Open Sans" w:eastAsia="Times New Roman" w:hAnsi="Open Sans" w:cs="Times New Roman"/>
          <w:color w:val="1B1B1B"/>
          <w:sz w:val="24"/>
          <w:szCs w:val="24"/>
          <w:lang w:eastAsia="pl-PL"/>
        </w:rPr>
        <w:t> konsekwencji, skoro</w:t>
      </w:r>
      <w:r>
        <w:rPr>
          <w:rFonts w:ascii="Open Sans" w:eastAsia="Times New Roman" w:hAnsi="Open Sans" w:cs="Times New Roman"/>
          <w:color w:val="1B1B1B"/>
          <w:sz w:val="24"/>
          <w:szCs w:val="24"/>
          <w:lang w:eastAsia="pl-PL"/>
        </w:rPr>
        <w:t xml:space="preserve"> wspólnik nie oddał do władania </w:t>
      </w:r>
      <w:r w:rsidRPr="009F5D91">
        <w:rPr>
          <w:rFonts w:ascii="Open Sans" w:eastAsia="Times New Roman" w:hAnsi="Open Sans" w:cs="Times New Roman"/>
          <w:color w:val="1B1B1B"/>
          <w:sz w:val="24"/>
          <w:szCs w:val="24"/>
          <w:lang w:eastAsia="pl-PL"/>
        </w:rPr>
        <w:t>samochodu spółce i tylko on używa samochodu do prowadzenia spraw spółki cywilnej, każdy ze wspólników zalicza do kosztów uzy</w:t>
      </w:r>
      <w:r>
        <w:rPr>
          <w:rFonts w:ascii="Open Sans" w:eastAsia="Times New Roman" w:hAnsi="Open Sans" w:cs="Times New Roman"/>
          <w:color w:val="1B1B1B"/>
          <w:sz w:val="24"/>
          <w:szCs w:val="24"/>
          <w:lang w:eastAsia="pl-PL"/>
        </w:rPr>
        <w:t xml:space="preserve">skania przychodów tylko wydatki </w:t>
      </w:r>
      <w:r w:rsidRPr="009F5D91">
        <w:rPr>
          <w:rFonts w:ascii="Open Sans" w:eastAsia="Times New Roman" w:hAnsi="Open Sans" w:cs="Times New Roman"/>
          <w:color w:val="1B1B1B"/>
          <w:sz w:val="24"/>
          <w:szCs w:val="24"/>
          <w:lang w:eastAsia="pl-PL"/>
        </w:rPr>
        <w:t>związane z używaniem własnego samochodu.</w:t>
      </w:r>
    </w:p>
    <w:p w:rsidR="003260BC"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W przypadku, gdy wspólnik spółki oddaje w najem lub użyczenie samochód osobowy spółce i wydatki związane z używaniem tego samochodu ponosi spółka, wó</w:t>
      </w:r>
      <w:r>
        <w:rPr>
          <w:rFonts w:ascii="Open Sans" w:eastAsia="Times New Roman" w:hAnsi="Open Sans" w:cs="Times New Roman"/>
          <w:color w:val="1B1B1B"/>
          <w:sz w:val="24"/>
          <w:szCs w:val="24"/>
          <w:lang w:eastAsia="pl-PL"/>
        </w:rPr>
        <w:t xml:space="preserve">wczas </w:t>
      </w:r>
      <w:r w:rsidRPr="009F5D91">
        <w:rPr>
          <w:rFonts w:ascii="Open Sans" w:eastAsia="Times New Roman" w:hAnsi="Open Sans" w:cs="Times New Roman"/>
          <w:color w:val="1B1B1B"/>
          <w:sz w:val="24"/>
          <w:szCs w:val="24"/>
          <w:lang w:eastAsia="pl-PL"/>
        </w:rPr>
        <w:t>wydatki te mogą być zaliczone do kosztów podatkowych do wysokości 75%."</w:t>
      </w:r>
    </w:p>
    <w:p w:rsidR="009F5D91" w:rsidRP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Pr>
          <w:rFonts w:ascii="Open Sans" w:eastAsia="Times New Roman" w:hAnsi="Open Sans" w:cs="Times New Roman"/>
          <w:color w:val="1B1B1B"/>
          <w:sz w:val="24"/>
          <w:szCs w:val="24"/>
          <w:lang w:eastAsia="pl-PL"/>
        </w:rPr>
        <w:t>(…)”</w:t>
      </w:r>
    </w:p>
    <w:p w:rsidR="009F5D91" w:rsidRDefault="009F5D91" w:rsidP="009F5D91">
      <w:pPr>
        <w:spacing w:before="100" w:beforeAutospacing="1" w:after="240" w:line="240" w:lineRule="auto"/>
        <w:rPr>
          <w:rFonts w:ascii="Open Sans" w:eastAsia="Times New Roman" w:hAnsi="Open Sans" w:cs="Times New Roman"/>
          <w:color w:val="1B1B1B"/>
          <w:sz w:val="24"/>
          <w:szCs w:val="24"/>
          <w:lang w:eastAsia="pl-PL"/>
        </w:rPr>
      </w:pPr>
      <w:r w:rsidRPr="009F5D91">
        <w:rPr>
          <w:rFonts w:ascii="Open Sans" w:eastAsia="Times New Roman" w:hAnsi="Open Sans" w:cs="Times New Roman"/>
          <w:color w:val="1B1B1B"/>
          <w:sz w:val="24"/>
          <w:szCs w:val="24"/>
          <w:lang w:eastAsia="pl-PL"/>
        </w:rPr>
        <w:t xml:space="preserve">W konsekwencji przejazdy pracownika samochodem służbowym pomiędzy miejscem parkowania lub garażowania samochodu służbowego znajdującym się w miejscu zamieszkania lub pobytu tego pracownika a miejscem pracy lub siedzibą Spółki, nie generują przychodu ze stosunku pracy. Przychód ze stosunku pracy nie </w:t>
      </w:r>
      <w:proofErr w:type="gramStart"/>
      <w:r w:rsidRPr="009F5D91">
        <w:rPr>
          <w:rFonts w:ascii="Open Sans" w:eastAsia="Times New Roman" w:hAnsi="Open Sans" w:cs="Times New Roman"/>
          <w:color w:val="1B1B1B"/>
          <w:sz w:val="24"/>
          <w:szCs w:val="24"/>
          <w:lang w:eastAsia="pl-PL"/>
        </w:rPr>
        <w:t>powstaje bowiem</w:t>
      </w:r>
      <w:proofErr w:type="gramEnd"/>
      <w:r w:rsidRPr="009F5D91">
        <w:rPr>
          <w:rFonts w:ascii="Open Sans" w:eastAsia="Times New Roman" w:hAnsi="Open Sans" w:cs="Times New Roman"/>
          <w:color w:val="1B1B1B"/>
          <w:sz w:val="24"/>
          <w:szCs w:val="24"/>
          <w:lang w:eastAsia="pl-PL"/>
        </w:rPr>
        <w:t xml:space="preserve"> w sytuacji, gdy przejazdy do i z miejsca parkowania, a także garażowanie w bezpiecznym miejscu znajdującym się w pobliżu miejsca zamieszkania/pobytu pracownika stanowią realizację celu służbowego, jakim jest dbałość o powierzone mienie Wnioskodawcy (podkreśl. </w:t>
      </w:r>
      <w:proofErr w:type="gramStart"/>
      <w:r w:rsidRPr="009F5D91">
        <w:rPr>
          <w:rFonts w:ascii="Open Sans" w:eastAsia="Times New Roman" w:hAnsi="Open Sans" w:cs="Times New Roman"/>
          <w:color w:val="1B1B1B"/>
          <w:sz w:val="24"/>
          <w:szCs w:val="24"/>
          <w:lang w:eastAsia="pl-PL"/>
        </w:rPr>
        <w:t>red</w:t>
      </w:r>
      <w:proofErr w:type="gramEnd"/>
      <w:r w:rsidRPr="009F5D91">
        <w:rPr>
          <w:rFonts w:ascii="Open Sans" w:eastAsia="Times New Roman" w:hAnsi="Open Sans" w:cs="Times New Roman"/>
          <w:color w:val="1B1B1B"/>
          <w:sz w:val="24"/>
          <w:szCs w:val="24"/>
          <w:lang w:eastAsia="pl-PL"/>
        </w:rPr>
        <w:t>.). (…)"</w:t>
      </w:r>
    </w:p>
    <w:p w:rsidR="009F5D91" w:rsidRPr="009F5D91" w:rsidRDefault="009F5D91" w:rsidP="009F5D91">
      <w:pPr>
        <w:spacing w:before="100" w:beforeAutospacing="1" w:after="240" w:line="240" w:lineRule="auto"/>
        <w:rPr>
          <w:rFonts w:ascii="Open Sans" w:eastAsia="Times New Roman" w:hAnsi="Open Sans" w:cs="Times New Roman"/>
          <w:b/>
          <w:color w:val="1B1B1B"/>
          <w:sz w:val="24"/>
          <w:szCs w:val="24"/>
          <w:lang w:eastAsia="pl-PL"/>
        </w:rPr>
      </w:pPr>
      <w:r w:rsidRPr="009F5D91">
        <w:rPr>
          <w:rFonts w:ascii="Open Sans" w:eastAsia="Times New Roman" w:hAnsi="Open Sans" w:cs="Times New Roman"/>
          <w:b/>
          <w:color w:val="1B1B1B"/>
          <w:sz w:val="24"/>
          <w:szCs w:val="24"/>
          <w:lang w:eastAsia="pl-PL"/>
        </w:rPr>
        <w:t xml:space="preserve">Składki na ubezpieczenie samochodu w kosztach podatnika, którego rok podatkowy jest inny niż kalendarzowy - interpretacja </w:t>
      </w:r>
      <w:proofErr w:type="spellStart"/>
      <w:r w:rsidRPr="009F5D91">
        <w:rPr>
          <w:rFonts w:ascii="Open Sans" w:eastAsia="Times New Roman" w:hAnsi="Open Sans" w:cs="Times New Roman"/>
          <w:b/>
          <w:color w:val="1B1B1B"/>
          <w:sz w:val="24"/>
          <w:szCs w:val="24"/>
          <w:lang w:eastAsia="pl-PL"/>
        </w:rPr>
        <w:t>KIS</w:t>
      </w:r>
      <w:proofErr w:type="spellEnd"/>
    </w:p>
    <w:p w:rsidR="009F5D91" w:rsidRDefault="00132277" w:rsidP="009F5D91">
      <w:pPr>
        <w:spacing w:before="100" w:beforeAutospacing="1" w:after="240" w:line="240" w:lineRule="auto"/>
        <w:rPr>
          <w:rFonts w:ascii="Open Sans" w:eastAsia="Times New Roman" w:hAnsi="Open Sans" w:cs="Times New Roman"/>
          <w:color w:val="1B1B1B"/>
          <w:sz w:val="24"/>
          <w:szCs w:val="24"/>
          <w:lang w:eastAsia="pl-PL"/>
        </w:rPr>
      </w:pPr>
      <w:proofErr w:type="gramStart"/>
      <w:r>
        <w:rPr>
          <w:rFonts w:ascii="Open Sans" w:eastAsia="Times New Roman" w:hAnsi="Open Sans" w:cs="Times New Roman"/>
          <w:color w:val="1B1B1B"/>
          <w:sz w:val="24"/>
          <w:szCs w:val="24"/>
          <w:lang w:eastAsia="pl-PL"/>
        </w:rPr>
        <w:t>(…)”</w:t>
      </w:r>
      <w:r w:rsidR="009F5D91" w:rsidRPr="009F5D91">
        <w:rPr>
          <w:rFonts w:ascii="Open Sans" w:eastAsia="Times New Roman" w:hAnsi="Open Sans" w:cs="Times New Roman"/>
          <w:color w:val="1B1B1B"/>
          <w:sz w:val="24"/>
          <w:szCs w:val="24"/>
          <w:lang w:eastAsia="pl-PL"/>
        </w:rPr>
        <w:t>Składki</w:t>
      </w:r>
      <w:proofErr w:type="gramEnd"/>
      <w:r w:rsidR="009F5D91" w:rsidRPr="009F5D91">
        <w:rPr>
          <w:rFonts w:ascii="Open Sans" w:eastAsia="Times New Roman" w:hAnsi="Open Sans" w:cs="Times New Roman"/>
          <w:color w:val="1B1B1B"/>
          <w:sz w:val="24"/>
          <w:szCs w:val="24"/>
          <w:lang w:eastAsia="pl-PL"/>
        </w:rPr>
        <w:t xml:space="preserve"> na ubezpieczenie </w:t>
      </w:r>
      <w:proofErr w:type="spellStart"/>
      <w:r w:rsidR="009F5D91" w:rsidRPr="009F5D91">
        <w:rPr>
          <w:rFonts w:ascii="Open Sans" w:eastAsia="Times New Roman" w:hAnsi="Open Sans" w:cs="Times New Roman"/>
          <w:color w:val="1B1B1B"/>
          <w:sz w:val="24"/>
          <w:szCs w:val="24"/>
          <w:lang w:eastAsia="pl-PL"/>
        </w:rPr>
        <w:t>NNW</w:t>
      </w:r>
      <w:proofErr w:type="spellEnd"/>
      <w:r w:rsidR="009F5D91" w:rsidRPr="009F5D91">
        <w:rPr>
          <w:rFonts w:ascii="Open Sans" w:eastAsia="Times New Roman" w:hAnsi="Open Sans" w:cs="Times New Roman"/>
          <w:color w:val="1B1B1B"/>
          <w:sz w:val="24"/>
          <w:szCs w:val="24"/>
          <w:lang w:eastAsia="pl-PL"/>
        </w:rPr>
        <w:t xml:space="preserve"> czy OC, dotyczące samochodu osobowego, stanowią koszty uzyskania przychodów w pełnej wysokości. Natomiast składki na ubezpieczenie AC są ujmowane w kosztach podatkowych w ramach limitu. U podatnika, którego rok podatkowy trwał od 1 października 2018 r. do 30 września 2019 r., limit ten do końca września 2019 r. wynosił równowartość 20.000 </w:t>
      </w:r>
      <w:proofErr w:type="gramStart"/>
      <w:r w:rsidR="009F5D91" w:rsidRPr="009F5D91">
        <w:rPr>
          <w:rFonts w:ascii="Open Sans" w:eastAsia="Times New Roman" w:hAnsi="Open Sans" w:cs="Times New Roman"/>
          <w:color w:val="1B1B1B"/>
          <w:sz w:val="24"/>
          <w:szCs w:val="24"/>
          <w:lang w:eastAsia="pl-PL"/>
        </w:rPr>
        <w:t>euro</w:t>
      </w:r>
      <w:proofErr w:type="gramEnd"/>
      <w:r w:rsidR="009F5D91" w:rsidRPr="009F5D91">
        <w:rPr>
          <w:rFonts w:ascii="Open Sans" w:eastAsia="Times New Roman" w:hAnsi="Open Sans" w:cs="Times New Roman"/>
          <w:color w:val="1B1B1B"/>
          <w:sz w:val="24"/>
          <w:szCs w:val="24"/>
          <w:lang w:eastAsia="pl-PL"/>
        </w:rPr>
        <w:t xml:space="preserve">, a od 1 października 2019 r. - 150.000 zł. </w:t>
      </w:r>
      <w:r>
        <w:rPr>
          <w:rFonts w:ascii="Open Sans" w:eastAsia="Times New Roman" w:hAnsi="Open Sans" w:cs="Times New Roman"/>
          <w:color w:val="1B1B1B"/>
          <w:sz w:val="24"/>
          <w:szCs w:val="24"/>
          <w:lang w:eastAsia="pl-PL"/>
        </w:rPr>
        <w:t>„</w:t>
      </w:r>
    </w:p>
    <w:p w:rsidR="00132277" w:rsidRPr="00132277" w:rsidRDefault="00132277" w:rsidP="00132277">
      <w:pPr>
        <w:spacing w:after="180" w:line="240" w:lineRule="auto"/>
        <w:textAlignment w:val="baseline"/>
        <w:outlineLvl w:val="1"/>
        <w:rPr>
          <w:rFonts w:ascii="inherit" w:eastAsia="Times New Roman" w:hAnsi="inherit" w:cs="Times New Roman"/>
          <w:b/>
          <w:bCs/>
          <w:color w:val="1B1B1B"/>
          <w:sz w:val="60"/>
          <w:szCs w:val="60"/>
          <w:lang w:eastAsia="pl-PL"/>
        </w:rPr>
      </w:pPr>
      <w:r w:rsidRPr="00132277">
        <w:rPr>
          <w:rFonts w:ascii="inherit" w:eastAsia="Times New Roman" w:hAnsi="inherit" w:cs="Times New Roman"/>
          <w:b/>
          <w:bCs/>
          <w:color w:val="1B1B1B"/>
          <w:sz w:val="60"/>
          <w:szCs w:val="60"/>
          <w:lang w:eastAsia="pl-PL"/>
        </w:rPr>
        <w:t>Centralny Rejestr Beneficjentów Rzeczywistych</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b/>
          <w:bCs/>
          <w:color w:val="1B1B1B"/>
          <w:lang w:eastAsia="pl-PL"/>
        </w:rPr>
        <w:t xml:space="preserve">Czym jest </w:t>
      </w:r>
      <w:proofErr w:type="spellStart"/>
      <w:proofErr w:type="gramStart"/>
      <w:r w:rsidRPr="00132277">
        <w:rPr>
          <w:rFonts w:ascii="inherit" w:eastAsia="Times New Roman" w:hAnsi="inherit" w:cs="Times New Roman"/>
          <w:b/>
          <w:bCs/>
          <w:color w:val="1B1B1B"/>
          <w:lang w:eastAsia="pl-PL"/>
        </w:rPr>
        <w:t>CRBR</w:t>
      </w:r>
      <w:proofErr w:type="spellEnd"/>
      <w:proofErr w:type="gramEnd"/>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Centralny Rejestr Beneficjentów Rzeczywistych (</w:t>
      </w:r>
      <w:proofErr w:type="spellStart"/>
      <w:r w:rsidRPr="00132277">
        <w:rPr>
          <w:rFonts w:ascii="inherit" w:eastAsia="Times New Roman" w:hAnsi="inherit" w:cs="Times New Roman"/>
          <w:color w:val="1B1B1B"/>
          <w:lang w:eastAsia="pl-PL"/>
        </w:rPr>
        <w:t>CRBR</w:t>
      </w:r>
      <w:proofErr w:type="spellEnd"/>
      <w:r w:rsidRPr="00132277">
        <w:rPr>
          <w:rFonts w:ascii="inherit" w:eastAsia="Times New Roman" w:hAnsi="inherit" w:cs="Times New Roman"/>
          <w:color w:val="1B1B1B"/>
          <w:lang w:eastAsia="pl-PL"/>
        </w:rPr>
        <w:t xml:space="preserve">) to system, w którym są gromadzone i przetwarzane informacje o beneficjentach rzeczywistych, tj. osobach fizycznych sprawujących bezpośrednią lub pośrednią kontrolę nad spółką. </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Jednym z głównych zadań </w:t>
      </w:r>
      <w:proofErr w:type="spellStart"/>
      <w:r w:rsidRPr="00132277">
        <w:rPr>
          <w:rFonts w:ascii="inherit" w:eastAsia="Times New Roman" w:hAnsi="inherit" w:cs="Times New Roman"/>
          <w:color w:val="1B1B1B"/>
          <w:lang w:eastAsia="pl-PL"/>
        </w:rPr>
        <w:t>CRBR</w:t>
      </w:r>
      <w:proofErr w:type="spellEnd"/>
      <w:r w:rsidRPr="00132277">
        <w:rPr>
          <w:rFonts w:ascii="inherit" w:eastAsia="Times New Roman" w:hAnsi="inherit" w:cs="Times New Roman"/>
          <w:color w:val="1B1B1B"/>
          <w:lang w:eastAsia="pl-PL"/>
        </w:rPr>
        <w:t xml:space="preserve"> jest przeciwdziałanie praniu pieniędzy i finansowaniu terroryzmu. Posiadanie dokładnych i aktualnych danych o beneficjentach rzeczywistych ma kluczowe znaczenie dla zwalczania tych zjawisk, ponieważ uniemożliwia przestępcom ukrycie swojej tożsamości w skomplikowanej strukturze korporacyjnej. Publiczny charakter rejestru, umożliwiający każdemu nieodpłatny dostęp do informacji o beneficjentach rzeczywistych, zapewnia również większą kontrolę informacji przez społeczeństwo obywatelskie oraz przyczynia się do zwiększenia zaufania do rynku finansowego i uczestników obrotu gospodarczego.</w:t>
      </w:r>
    </w:p>
    <w:p w:rsidR="00132277" w:rsidRDefault="00132277" w:rsidP="00132277">
      <w:pPr>
        <w:spacing w:after="0" w:line="240" w:lineRule="auto"/>
        <w:textAlignment w:val="baseline"/>
        <w:rPr>
          <w:rFonts w:ascii="inherit" w:eastAsia="Times New Roman" w:hAnsi="inherit" w:cs="Times New Roman"/>
          <w:b/>
          <w:bCs/>
          <w:color w:val="1B1B1B"/>
          <w:lang w:eastAsia="pl-PL"/>
        </w:rPr>
      </w:pPr>
      <w:r w:rsidRPr="00132277">
        <w:rPr>
          <w:rFonts w:ascii="inherit" w:eastAsia="Times New Roman" w:hAnsi="inherit" w:cs="Times New Roman"/>
          <w:b/>
          <w:bCs/>
          <w:color w:val="1B1B1B"/>
          <w:lang w:eastAsia="pl-PL"/>
        </w:rPr>
        <w:t xml:space="preserve">Jakie dane zawiera </w:t>
      </w:r>
      <w:proofErr w:type="spellStart"/>
      <w:proofErr w:type="gramStart"/>
      <w:r w:rsidRPr="00132277">
        <w:rPr>
          <w:rFonts w:ascii="inherit" w:eastAsia="Times New Roman" w:hAnsi="inherit" w:cs="Times New Roman"/>
          <w:b/>
          <w:bCs/>
          <w:color w:val="1B1B1B"/>
          <w:lang w:eastAsia="pl-PL"/>
        </w:rPr>
        <w:t>CRBR</w:t>
      </w:r>
      <w:proofErr w:type="spellEnd"/>
      <w:r>
        <w:rPr>
          <w:rFonts w:ascii="inherit" w:eastAsia="Times New Roman" w:hAnsi="inherit" w:cs="Times New Roman"/>
          <w:b/>
          <w:bCs/>
          <w:color w:val="1B1B1B"/>
          <w:lang w:eastAsia="pl-PL"/>
        </w:rPr>
        <w:t xml:space="preserve"> </w:t>
      </w:r>
      <w:proofErr w:type="gramEnd"/>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000000"/>
          <w:lang w:eastAsia="pl-PL"/>
        </w:rPr>
        <w:lastRenderedPageBreak/>
        <w:t xml:space="preserve">Rejestr gromadzi dane dotyczące beneficjentów rzeczywistych spółek: </w:t>
      </w:r>
    </w:p>
    <w:p w:rsidR="00132277" w:rsidRPr="00132277" w:rsidRDefault="00132277" w:rsidP="00132277">
      <w:pPr>
        <w:numPr>
          <w:ilvl w:val="0"/>
          <w:numId w:val="14"/>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000000"/>
          <w:lang w:eastAsia="pl-PL"/>
        </w:rPr>
        <w:t>jawnych</w:t>
      </w:r>
      <w:proofErr w:type="gramEnd"/>
      <w:r w:rsidRPr="00132277">
        <w:rPr>
          <w:rFonts w:ascii="inherit" w:eastAsia="Times New Roman" w:hAnsi="inherit" w:cs="Times New Roman"/>
          <w:color w:val="000000"/>
          <w:lang w:eastAsia="pl-PL"/>
        </w:rPr>
        <w:t>,</w:t>
      </w:r>
    </w:p>
    <w:p w:rsidR="00132277" w:rsidRPr="00132277" w:rsidRDefault="00132277" w:rsidP="00132277">
      <w:pPr>
        <w:numPr>
          <w:ilvl w:val="0"/>
          <w:numId w:val="14"/>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000000"/>
          <w:lang w:eastAsia="pl-PL"/>
        </w:rPr>
        <w:t>komandytowych</w:t>
      </w:r>
      <w:proofErr w:type="gramEnd"/>
      <w:r w:rsidRPr="00132277">
        <w:rPr>
          <w:rFonts w:ascii="inherit" w:eastAsia="Times New Roman" w:hAnsi="inherit" w:cs="Times New Roman"/>
          <w:color w:val="000000"/>
          <w:lang w:eastAsia="pl-PL"/>
        </w:rPr>
        <w:t xml:space="preserve">, </w:t>
      </w:r>
    </w:p>
    <w:p w:rsidR="00132277" w:rsidRPr="00132277" w:rsidRDefault="00132277" w:rsidP="00132277">
      <w:pPr>
        <w:numPr>
          <w:ilvl w:val="0"/>
          <w:numId w:val="14"/>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000000"/>
          <w:lang w:eastAsia="pl-PL"/>
        </w:rPr>
        <w:t>komandytowo-akcyjnych</w:t>
      </w:r>
      <w:proofErr w:type="gramEnd"/>
      <w:r w:rsidRPr="00132277">
        <w:rPr>
          <w:rFonts w:ascii="inherit" w:eastAsia="Times New Roman" w:hAnsi="inherit" w:cs="Times New Roman"/>
          <w:color w:val="000000"/>
          <w:lang w:eastAsia="pl-PL"/>
        </w:rPr>
        <w:t>,</w:t>
      </w:r>
    </w:p>
    <w:p w:rsidR="00132277" w:rsidRPr="00132277" w:rsidRDefault="00132277" w:rsidP="00132277">
      <w:pPr>
        <w:numPr>
          <w:ilvl w:val="0"/>
          <w:numId w:val="14"/>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000000"/>
          <w:lang w:eastAsia="pl-PL"/>
        </w:rPr>
        <w:t>z</w:t>
      </w:r>
      <w:proofErr w:type="gramEnd"/>
      <w:r w:rsidRPr="00132277">
        <w:rPr>
          <w:rFonts w:ascii="inherit" w:eastAsia="Times New Roman" w:hAnsi="inherit" w:cs="Times New Roman"/>
          <w:color w:val="000000"/>
          <w:lang w:eastAsia="pl-PL"/>
        </w:rPr>
        <w:t xml:space="preserve"> ograniczoną odpowiedzialnością; </w:t>
      </w:r>
    </w:p>
    <w:p w:rsidR="00132277" w:rsidRPr="00132277" w:rsidRDefault="00132277" w:rsidP="00132277">
      <w:pPr>
        <w:numPr>
          <w:ilvl w:val="0"/>
          <w:numId w:val="14"/>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000000"/>
          <w:lang w:eastAsia="pl-PL"/>
        </w:rPr>
        <w:t>prostych</w:t>
      </w:r>
      <w:proofErr w:type="gramEnd"/>
      <w:r w:rsidRPr="00132277">
        <w:rPr>
          <w:rFonts w:ascii="inherit" w:eastAsia="Times New Roman" w:hAnsi="inherit" w:cs="Times New Roman"/>
          <w:color w:val="000000"/>
          <w:lang w:eastAsia="pl-PL"/>
        </w:rPr>
        <w:t xml:space="preserve"> spółek akcyjnych (od 1 marca 2020 r.)</w:t>
      </w:r>
    </w:p>
    <w:p w:rsidR="00132277" w:rsidRPr="00132277" w:rsidRDefault="00132277" w:rsidP="00132277">
      <w:pPr>
        <w:numPr>
          <w:ilvl w:val="0"/>
          <w:numId w:val="14"/>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000000"/>
          <w:lang w:eastAsia="pl-PL"/>
        </w:rPr>
        <w:t>akcyjnych</w:t>
      </w:r>
      <w:proofErr w:type="gramEnd"/>
      <w:r w:rsidRPr="00132277">
        <w:rPr>
          <w:rFonts w:ascii="inherit" w:eastAsia="Times New Roman" w:hAnsi="inherit" w:cs="Times New Roman"/>
          <w:color w:val="000000"/>
          <w:lang w:eastAsia="pl-PL"/>
        </w:rPr>
        <w:t xml:space="preserve">, z wyjątkiem spółek publicznych w rozumieniu ustawy z dnia 29 lipca 2005 r. o ofercie publicznej i warunkach wprowadzania instrumentów finansowych do zorganizowanego systemu obrotu oraz o spółkach publicznych (Dz. U. </w:t>
      </w:r>
      <w:proofErr w:type="gramStart"/>
      <w:r w:rsidRPr="00132277">
        <w:rPr>
          <w:rFonts w:ascii="inherit" w:eastAsia="Times New Roman" w:hAnsi="inherit" w:cs="Times New Roman"/>
          <w:color w:val="000000"/>
          <w:lang w:eastAsia="pl-PL"/>
        </w:rPr>
        <w:t>z</w:t>
      </w:r>
      <w:proofErr w:type="gramEnd"/>
      <w:r w:rsidRPr="00132277">
        <w:rPr>
          <w:rFonts w:ascii="inherit" w:eastAsia="Times New Roman" w:hAnsi="inherit" w:cs="Times New Roman"/>
          <w:color w:val="000000"/>
          <w:lang w:eastAsia="pl-PL"/>
        </w:rPr>
        <w:t xml:space="preserve"> 2019 r. poz. 623).</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b/>
          <w:bCs/>
          <w:color w:val="1B1B1B"/>
          <w:lang w:eastAsia="pl-PL"/>
        </w:rPr>
        <w:t xml:space="preserve">Kim jest beneficjent rzeczywisty </w:t>
      </w:r>
      <w:proofErr w:type="gramStart"/>
      <w:r w:rsidRPr="00132277">
        <w:rPr>
          <w:rFonts w:ascii="inherit" w:eastAsia="Times New Roman" w:hAnsi="inherit" w:cs="Times New Roman"/>
          <w:b/>
          <w:bCs/>
          <w:color w:val="1B1B1B"/>
          <w:lang w:eastAsia="pl-PL"/>
        </w:rPr>
        <w:t>spółki</w:t>
      </w:r>
      <w:proofErr w:type="gramEnd"/>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To osoba fizyczna lub osoby fizyczne:</w:t>
      </w:r>
    </w:p>
    <w:p w:rsidR="00132277" w:rsidRPr="00132277" w:rsidRDefault="00132277" w:rsidP="00132277">
      <w:pPr>
        <w:numPr>
          <w:ilvl w:val="0"/>
          <w:numId w:val="15"/>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1B1B1B"/>
          <w:lang w:eastAsia="pl-PL"/>
        </w:rPr>
        <w:t>sprawujące</w:t>
      </w:r>
      <w:proofErr w:type="gramEnd"/>
      <w:r w:rsidRPr="00132277">
        <w:rPr>
          <w:rFonts w:ascii="inherit" w:eastAsia="Times New Roman" w:hAnsi="inherit" w:cs="Times New Roman"/>
          <w:color w:val="1B1B1B"/>
          <w:lang w:eastAsia="pl-PL"/>
        </w:rPr>
        <w:t xml:space="preserve"> bezpośrednio lub pośrednio kontrolę nad spółką poprzez posiadane uprawnienia, które wynikają z okoliczności prawnych lub faktycznych, umożliwiające wywieranie decydującego wpływu na czynności lub działania podejmowane przez spółkę, lub </w:t>
      </w:r>
    </w:p>
    <w:p w:rsidR="00132277" w:rsidRPr="00132277" w:rsidRDefault="00132277" w:rsidP="00132277">
      <w:pPr>
        <w:numPr>
          <w:ilvl w:val="0"/>
          <w:numId w:val="15"/>
        </w:numPr>
        <w:spacing w:after="0" w:line="240" w:lineRule="auto"/>
        <w:ind w:left="0"/>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w </w:t>
      </w:r>
      <w:proofErr w:type="gramStart"/>
      <w:r w:rsidRPr="00132277">
        <w:rPr>
          <w:rFonts w:ascii="inherit" w:eastAsia="Times New Roman" w:hAnsi="inherit" w:cs="Times New Roman"/>
          <w:color w:val="1B1B1B"/>
          <w:lang w:eastAsia="pl-PL"/>
        </w:rPr>
        <w:t>imieniu których</w:t>
      </w:r>
      <w:proofErr w:type="gramEnd"/>
      <w:r w:rsidRPr="00132277">
        <w:rPr>
          <w:rFonts w:ascii="inherit" w:eastAsia="Times New Roman" w:hAnsi="inherit" w:cs="Times New Roman"/>
          <w:color w:val="1B1B1B"/>
          <w:lang w:eastAsia="pl-PL"/>
        </w:rPr>
        <w:t xml:space="preserve"> są nawiązywane stosunki gospodarcze lub jest przeprowadzana transakcja okazjonalna.</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W przypadku spółki – osoby prawnej, innej niż spółka, której papiery wartościowe są dopuszczone do obrotu na rynku regulowanym, podlegającym wymogom ujawniania informacji na podstawie przepisów prawa Unii Europejskiej lub odpowiadającym im przepisom prawa państwa trzeciego, beneficjentem rzeczywistym spółki jest:</w:t>
      </w:r>
    </w:p>
    <w:p w:rsidR="00132277" w:rsidRPr="00132277" w:rsidRDefault="00132277" w:rsidP="00132277">
      <w:pPr>
        <w:numPr>
          <w:ilvl w:val="0"/>
          <w:numId w:val="16"/>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1B1B1B"/>
          <w:lang w:eastAsia="pl-PL"/>
        </w:rPr>
        <w:t>osoba</w:t>
      </w:r>
      <w:proofErr w:type="gramEnd"/>
      <w:r w:rsidRPr="00132277">
        <w:rPr>
          <w:rFonts w:ascii="inherit" w:eastAsia="Times New Roman" w:hAnsi="inherit" w:cs="Times New Roman"/>
          <w:color w:val="1B1B1B"/>
          <w:lang w:eastAsia="pl-PL"/>
        </w:rPr>
        <w:t xml:space="preserve"> fizyczna będąca udziałowcem lub akcjonariuszem spółki, której przysługuje prawo własności więcej niż 25% ogólnej liczby udziałów lub akcji tej osoby prawnej,</w:t>
      </w:r>
    </w:p>
    <w:p w:rsidR="00132277" w:rsidRPr="00132277" w:rsidRDefault="00132277" w:rsidP="00132277">
      <w:pPr>
        <w:numPr>
          <w:ilvl w:val="0"/>
          <w:numId w:val="16"/>
        </w:numPr>
        <w:spacing w:after="0" w:line="240" w:lineRule="auto"/>
        <w:ind w:left="0"/>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osoba fizyczna dysponująca więcej niż 25% ogólnej liczby głosów w organie stanowiącym  spółki, </w:t>
      </w:r>
      <w:proofErr w:type="gramStart"/>
      <w:r w:rsidRPr="00132277">
        <w:rPr>
          <w:rFonts w:ascii="inherit" w:eastAsia="Times New Roman" w:hAnsi="inherit" w:cs="Times New Roman"/>
          <w:color w:val="1B1B1B"/>
          <w:lang w:eastAsia="pl-PL"/>
        </w:rPr>
        <w:t>także jako</w:t>
      </w:r>
      <w:proofErr w:type="gramEnd"/>
      <w:r w:rsidRPr="00132277">
        <w:rPr>
          <w:rFonts w:ascii="inherit" w:eastAsia="Times New Roman" w:hAnsi="inherit" w:cs="Times New Roman"/>
          <w:color w:val="1B1B1B"/>
          <w:lang w:eastAsia="pl-PL"/>
        </w:rPr>
        <w:t xml:space="preserve"> zastawnik albo użytkownik, lub na podstawie porozumień z innymi uprawnionymi do głosu,</w:t>
      </w:r>
    </w:p>
    <w:p w:rsidR="00132277" w:rsidRPr="00132277" w:rsidRDefault="00132277" w:rsidP="00132277">
      <w:pPr>
        <w:numPr>
          <w:ilvl w:val="0"/>
          <w:numId w:val="16"/>
        </w:numPr>
        <w:spacing w:after="0" w:line="240" w:lineRule="auto"/>
        <w:ind w:left="0"/>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osoba fizyczna sprawująca kontrolę nad osobą prawną lub osobami prawnymi, którym łącznie przysługuje prawo własności więcej niż 25% ogólnej liczby udziałów lub akcji spółki, lub łącznie dysponującą więcej niż 25% ogólnej liczby głosów w organie spółki, </w:t>
      </w:r>
      <w:proofErr w:type="gramStart"/>
      <w:r w:rsidRPr="00132277">
        <w:rPr>
          <w:rFonts w:ascii="inherit" w:eastAsia="Times New Roman" w:hAnsi="inherit" w:cs="Times New Roman"/>
          <w:color w:val="1B1B1B"/>
          <w:lang w:eastAsia="pl-PL"/>
        </w:rPr>
        <w:t>także jako</w:t>
      </w:r>
      <w:proofErr w:type="gramEnd"/>
      <w:r w:rsidRPr="00132277">
        <w:rPr>
          <w:rFonts w:ascii="inherit" w:eastAsia="Times New Roman" w:hAnsi="inherit" w:cs="Times New Roman"/>
          <w:color w:val="1B1B1B"/>
          <w:lang w:eastAsia="pl-PL"/>
        </w:rPr>
        <w:t xml:space="preserve"> zastawnik albo użytkownik, lub na podstawie porozumień z innymi uprawnionymi do głosu,</w:t>
      </w:r>
    </w:p>
    <w:p w:rsidR="00132277" w:rsidRPr="00132277" w:rsidRDefault="00132277" w:rsidP="00132277">
      <w:pPr>
        <w:numPr>
          <w:ilvl w:val="0"/>
          <w:numId w:val="16"/>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1B1B1B"/>
          <w:lang w:eastAsia="pl-PL"/>
        </w:rPr>
        <w:t>osoba</w:t>
      </w:r>
      <w:proofErr w:type="gramEnd"/>
      <w:r w:rsidRPr="00132277">
        <w:rPr>
          <w:rFonts w:ascii="inherit" w:eastAsia="Times New Roman" w:hAnsi="inherit" w:cs="Times New Roman"/>
          <w:color w:val="1B1B1B"/>
          <w:lang w:eastAsia="pl-PL"/>
        </w:rPr>
        <w:t xml:space="preserve"> fizyczna sprawująca kontrolę nad spółką przez posiadanie w stosunku do niej uprawnień, o których mowa w art. 3 ust. 1 pkt 37 ustawy z dnia 29 września 1994 r. o rachunkowości (Dz. U. </w:t>
      </w:r>
      <w:proofErr w:type="gramStart"/>
      <w:r w:rsidRPr="00132277">
        <w:rPr>
          <w:rFonts w:ascii="inherit" w:eastAsia="Times New Roman" w:hAnsi="inherit" w:cs="Times New Roman"/>
          <w:color w:val="1B1B1B"/>
          <w:lang w:eastAsia="pl-PL"/>
        </w:rPr>
        <w:t>z</w:t>
      </w:r>
      <w:proofErr w:type="gramEnd"/>
      <w:r w:rsidRPr="00132277">
        <w:rPr>
          <w:rFonts w:ascii="inherit" w:eastAsia="Times New Roman" w:hAnsi="inherit" w:cs="Times New Roman"/>
          <w:color w:val="1B1B1B"/>
          <w:lang w:eastAsia="pl-PL"/>
        </w:rPr>
        <w:t xml:space="preserve"> 2019 r. poz. 351), lub</w:t>
      </w:r>
    </w:p>
    <w:p w:rsidR="00132277" w:rsidRPr="00132277" w:rsidRDefault="00132277" w:rsidP="00132277">
      <w:pPr>
        <w:numPr>
          <w:ilvl w:val="0"/>
          <w:numId w:val="16"/>
        </w:numPr>
        <w:spacing w:after="0" w:line="240" w:lineRule="auto"/>
        <w:ind w:left="0"/>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osoba fizyczna zajmująca wyższe stanowisko kierownicze w organach spółki w przypadku udokumentowanego braku możliwości ustalenia lub </w:t>
      </w:r>
      <w:proofErr w:type="gramStart"/>
      <w:r w:rsidRPr="00132277">
        <w:rPr>
          <w:rFonts w:ascii="inherit" w:eastAsia="Times New Roman" w:hAnsi="inherit" w:cs="Times New Roman"/>
          <w:color w:val="1B1B1B"/>
          <w:lang w:eastAsia="pl-PL"/>
        </w:rPr>
        <w:t>wątpliwości co</w:t>
      </w:r>
      <w:proofErr w:type="gramEnd"/>
      <w:r w:rsidRPr="00132277">
        <w:rPr>
          <w:rFonts w:ascii="inherit" w:eastAsia="Times New Roman" w:hAnsi="inherit" w:cs="Times New Roman"/>
          <w:color w:val="1B1B1B"/>
          <w:lang w:eastAsia="pl-PL"/>
        </w:rPr>
        <w:t xml:space="preserve"> do tożsamości osób fizycznych określonych w powyższych punktach oraz w przypadku niestwierdzenia podejrzeń prania pieniędzy lub finansowania terroryzmu.</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Ustawa definiuje jeszcze 2 przypadki, w których instytucje obowiązane identyfikują beneficjentów rzeczywistych swoich klientów: </w:t>
      </w:r>
    </w:p>
    <w:p w:rsidR="00132277" w:rsidRPr="00132277" w:rsidRDefault="00132277" w:rsidP="00132277">
      <w:pPr>
        <w:numPr>
          <w:ilvl w:val="0"/>
          <w:numId w:val="17"/>
        </w:numPr>
        <w:spacing w:after="0" w:line="240" w:lineRule="auto"/>
        <w:ind w:left="0"/>
        <w:textAlignment w:val="baseline"/>
        <w:rPr>
          <w:rFonts w:ascii="inherit" w:eastAsia="Times New Roman" w:hAnsi="inherit" w:cs="Times New Roman"/>
          <w:color w:val="1B1B1B"/>
          <w:sz w:val="24"/>
          <w:szCs w:val="24"/>
          <w:lang w:eastAsia="pl-PL"/>
        </w:rPr>
      </w:pPr>
      <w:proofErr w:type="gramStart"/>
      <w:r w:rsidRPr="00132277">
        <w:rPr>
          <w:rFonts w:ascii="inherit" w:eastAsia="Times New Roman" w:hAnsi="inherit" w:cs="Times New Roman"/>
          <w:color w:val="1B1B1B"/>
          <w:lang w:eastAsia="pl-PL"/>
        </w:rPr>
        <w:t>w</w:t>
      </w:r>
      <w:proofErr w:type="gramEnd"/>
      <w:r w:rsidRPr="00132277">
        <w:rPr>
          <w:rFonts w:ascii="inherit" w:eastAsia="Times New Roman" w:hAnsi="inherit" w:cs="Times New Roman"/>
          <w:color w:val="1B1B1B"/>
          <w:lang w:eastAsia="pl-PL"/>
        </w:rPr>
        <w:t xml:space="preserve"> przypadku klienta, który jest osobą fizyczną prowadzącą działalność gospodarczą, wobec którego nie stwierdzono przesłanek lub okoliczności mogących wskazywać na sprawowanie kontroli nad nim przez inną osobę fizyczną lub osoby fizyczne przyjmuje się, że taki klient jest jednocześnie beneficjentem rzeczywistym, </w:t>
      </w:r>
    </w:p>
    <w:p w:rsidR="00132277" w:rsidRPr="00132277" w:rsidRDefault="00132277" w:rsidP="00132277">
      <w:pPr>
        <w:numPr>
          <w:ilvl w:val="0"/>
          <w:numId w:val="17"/>
        </w:numPr>
        <w:spacing w:after="0" w:line="240" w:lineRule="auto"/>
        <w:ind w:left="0"/>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w przypadku klienta będącego trustem przyjmuje się, że beneficjentem rzeczywistym jest założyciel, powiernik, </w:t>
      </w:r>
      <w:proofErr w:type="gramStart"/>
      <w:r w:rsidRPr="00132277">
        <w:rPr>
          <w:rFonts w:ascii="inherit" w:eastAsia="Times New Roman" w:hAnsi="inherit" w:cs="Times New Roman"/>
          <w:color w:val="1B1B1B"/>
          <w:lang w:eastAsia="pl-PL"/>
        </w:rPr>
        <w:t>nadzorca (jeśli</w:t>
      </w:r>
      <w:proofErr w:type="gramEnd"/>
      <w:r w:rsidRPr="00132277">
        <w:rPr>
          <w:rFonts w:ascii="inherit" w:eastAsia="Times New Roman" w:hAnsi="inherit" w:cs="Times New Roman"/>
          <w:color w:val="1B1B1B"/>
          <w:lang w:eastAsia="pl-PL"/>
        </w:rPr>
        <w:t xml:space="preserve"> został ustanowiony), beneficjent trustu i/lub inna osoba, która sprawuje kontrolę nad trustem. </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Jednak w tych przypadkach informacja o beneficjentach rzeczywistych (trustów i osób fizycznych prowadzących działalność gospodarczą) nie jest przekazywana do Centralnego Rejestru Beneficjentów Rzeczywistych. Pełna definicja beneficjenta rzeczywistego znajduje się w art. 2 ust. 2 pkt 1 ustawy z dnia 1 marca 2018 r. o przeciwdziałaniu praniu pieniędzy oraz finansowaniu terroryzmu (Dz. U. 2019 </w:t>
      </w:r>
      <w:proofErr w:type="gramStart"/>
      <w:r w:rsidRPr="00132277">
        <w:rPr>
          <w:rFonts w:ascii="inherit" w:eastAsia="Times New Roman" w:hAnsi="inherit" w:cs="Times New Roman"/>
          <w:color w:val="1B1B1B"/>
          <w:lang w:eastAsia="pl-PL"/>
        </w:rPr>
        <w:t>r</w:t>
      </w:r>
      <w:proofErr w:type="gramEnd"/>
      <w:r w:rsidRPr="00132277">
        <w:rPr>
          <w:rFonts w:ascii="inherit" w:eastAsia="Times New Roman" w:hAnsi="inherit" w:cs="Times New Roman"/>
          <w:color w:val="1B1B1B"/>
          <w:lang w:eastAsia="pl-PL"/>
        </w:rPr>
        <w:t xml:space="preserve">. poz. 1115, z </w:t>
      </w:r>
      <w:proofErr w:type="spellStart"/>
      <w:r w:rsidRPr="00132277">
        <w:rPr>
          <w:rFonts w:ascii="inherit" w:eastAsia="Times New Roman" w:hAnsi="inherit" w:cs="Times New Roman"/>
          <w:color w:val="1B1B1B"/>
          <w:lang w:eastAsia="pl-PL"/>
        </w:rPr>
        <w:t>późn</w:t>
      </w:r>
      <w:proofErr w:type="spellEnd"/>
      <w:r w:rsidRPr="00132277">
        <w:rPr>
          <w:rFonts w:ascii="inherit" w:eastAsia="Times New Roman" w:hAnsi="inherit" w:cs="Times New Roman"/>
          <w:color w:val="1B1B1B"/>
          <w:lang w:eastAsia="pl-PL"/>
        </w:rPr>
        <w:t xml:space="preserve">. </w:t>
      </w:r>
      <w:proofErr w:type="gramStart"/>
      <w:r w:rsidRPr="00132277">
        <w:rPr>
          <w:rFonts w:ascii="inherit" w:eastAsia="Times New Roman" w:hAnsi="inherit" w:cs="Times New Roman"/>
          <w:color w:val="1B1B1B"/>
          <w:lang w:eastAsia="pl-PL"/>
        </w:rPr>
        <w:t>zm</w:t>
      </w:r>
      <w:proofErr w:type="gramEnd"/>
      <w:r w:rsidRPr="00132277">
        <w:rPr>
          <w:rFonts w:ascii="inherit" w:eastAsia="Times New Roman" w:hAnsi="inherit" w:cs="Times New Roman"/>
          <w:color w:val="1B1B1B"/>
          <w:lang w:eastAsia="pl-PL"/>
        </w:rPr>
        <w:t>.).</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b/>
          <w:bCs/>
          <w:color w:val="1B1B1B"/>
          <w:lang w:eastAsia="pl-PL"/>
        </w:rPr>
        <w:t>Podstawa prawna</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Utworzenie Centralnego Rejestru Beneficjentów Rzeczywistych stanowi realizację przepisów dyrektywy Parlamentu Europejskiego i Rady (UE) 2015/849 z 20 maja 2015 r. w sprawie zapobiegania wykorzystywaniu systemu finansowego do prania pieniędzy lub finansowania terroryzmu (tzw. IV dyrektywa </w:t>
      </w:r>
      <w:proofErr w:type="spellStart"/>
      <w:r w:rsidRPr="00132277">
        <w:rPr>
          <w:rFonts w:ascii="inherit" w:eastAsia="Times New Roman" w:hAnsi="inherit" w:cs="Times New Roman"/>
          <w:color w:val="1B1B1B"/>
          <w:lang w:eastAsia="pl-PL"/>
        </w:rPr>
        <w:t>AML</w:t>
      </w:r>
      <w:proofErr w:type="spellEnd"/>
      <w:r w:rsidRPr="00132277">
        <w:rPr>
          <w:rFonts w:ascii="inherit" w:eastAsia="Times New Roman" w:hAnsi="inherit" w:cs="Times New Roman"/>
          <w:color w:val="1B1B1B"/>
          <w:lang w:eastAsia="pl-PL"/>
        </w:rPr>
        <w:t xml:space="preserve">). Przepisy Unii Europejskiej zobowiązują państwa członkowskie </w:t>
      </w:r>
      <w:r w:rsidRPr="00132277">
        <w:rPr>
          <w:rFonts w:ascii="inherit" w:eastAsia="Times New Roman" w:hAnsi="inherit" w:cs="Times New Roman"/>
          <w:color w:val="1B1B1B"/>
          <w:lang w:eastAsia="pl-PL"/>
        </w:rPr>
        <w:lastRenderedPageBreak/>
        <w:t>do przechowywania informacji na temat beneficjentów rzeczywistych w centralnym rejestrze oraz do udostępniania tych informacji właściwym organom i jednostkom analityki finansowej, a także podmiotom zobowiązanym (w ramach stosowania środków należytej staranności wobec klienta).</w:t>
      </w:r>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lang w:eastAsia="pl-PL"/>
        </w:rPr>
        <w:t xml:space="preserve">W Polsce podstawą funkcjonowania </w:t>
      </w:r>
      <w:proofErr w:type="spellStart"/>
      <w:r w:rsidRPr="00132277">
        <w:rPr>
          <w:rFonts w:ascii="inherit" w:eastAsia="Times New Roman" w:hAnsi="inherit" w:cs="Times New Roman"/>
          <w:color w:val="1B1B1B"/>
          <w:lang w:eastAsia="pl-PL"/>
        </w:rPr>
        <w:t>CRBR</w:t>
      </w:r>
      <w:proofErr w:type="spellEnd"/>
      <w:r w:rsidRPr="00132277">
        <w:rPr>
          <w:rFonts w:ascii="inherit" w:eastAsia="Times New Roman" w:hAnsi="inherit" w:cs="Times New Roman"/>
          <w:color w:val="1B1B1B"/>
          <w:lang w:eastAsia="pl-PL"/>
        </w:rPr>
        <w:t xml:space="preserve"> jest ustawa z dnia 1 marca 2018 r. o przeciwdziałaniu praniu pieniędzy oraz finansowaniu terroryzmu (Dz. U. 2019 </w:t>
      </w:r>
      <w:proofErr w:type="gramStart"/>
      <w:r w:rsidRPr="00132277">
        <w:rPr>
          <w:rFonts w:ascii="inherit" w:eastAsia="Times New Roman" w:hAnsi="inherit" w:cs="Times New Roman"/>
          <w:color w:val="1B1B1B"/>
          <w:lang w:eastAsia="pl-PL"/>
        </w:rPr>
        <w:t>poz</w:t>
      </w:r>
      <w:proofErr w:type="gramEnd"/>
      <w:r w:rsidRPr="00132277">
        <w:rPr>
          <w:rFonts w:ascii="inherit" w:eastAsia="Times New Roman" w:hAnsi="inherit" w:cs="Times New Roman"/>
          <w:color w:val="1B1B1B"/>
          <w:lang w:eastAsia="pl-PL"/>
        </w:rPr>
        <w:t xml:space="preserve">. 1115, z </w:t>
      </w:r>
      <w:proofErr w:type="spellStart"/>
      <w:r w:rsidRPr="00132277">
        <w:rPr>
          <w:rFonts w:ascii="inherit" w:eastAsia="Times New Roman" w:hAnsi="inherit" w:cs="Times New Roman"/>
          <w:color w:val="1B1B1B"/>
          <w:lang w:eastAsia="pl-PL"/>
        </w:rPr>
        <w:t>późn</w:t>
      </w:r>
      <w:proofErr w:type="spellEnd"/>
      <w:r w:rsidRPr="00132277">
        <w:rPr>
          <w:rFonts w:ascii="inherit" w:eastAsia="Times New Roman" w:hAnsi="inherit" w:cs="Times New Roman"/>
          <w:color w:val="1B1B1B"/>
          <w:lang w:eastAsia="pl-PL"/>
        </w:rPr>
        <w:t xml:space="preserve">. </w:t>
      </w:r>
      <w:proofErr w:type="gramStart"/>
      <w:r w:rsidRPr="00132277">
        <w:rPr>
          <w:rFonts w:ascii="inherit" w:eastAsia="Times New Roman" w:hAnsi="inherit" w:cs="Times New Roman"/>
          <w:color w:val="1B1B1B"/>
          <w:lang w:eastAsia="pl-PL"/>
        </w:rPr>
        <w:t>zm</w:t>
      </w:r>
      <w:proofErr w:type="gramEnd"/>
      <w:r w:rsidRPr="00132277">
        <w:rPr>
          <w:rFonts w:ascii="inherit" w:eastAsia="Times New Roman" w:hAnsi="inherit" w:cs="Times New Roman"/>
          <w:color w:val="1B1B1B"/>
          <w:lang w:eastAsia="pl-PL"/>
        </w:rPr>
        <w:t xml:space="preserve">.), która implementuje przepisy IV dyrektywy </w:t>
      </w:r>
      <w:proofErr w:type="spellStart"/>
      <w:r w:rsidRPr="00132277">
        <w:rPr>
          <w:rFonts w:ascii="inherit" w:eastAsia="Times New Roman" w:hAnsi="inherit" w:cs="Times New Roman"/>
          <w:color w:val="1B1B1B"/>
          <w:lang w:eastAsia="pl-PL"/>
        </w:rPr>
        <w:t>AML</w:t>
      </w:r>
      <w:proofErr w:type="spellEnd"/>
      <w:r w:rsidRPr="00132277">
        <w:rPr>
          <w:rFonts w:ascii="inherit" w:eastAsia="Times New Roman" w:hAnsi="inherit" w:cs="Times New Roman"/>
          <w:color w:val="1B1B1B"/>
          <w:lang w:eastAsia="pl-PL"/>
        </w:rPr>
        <w:t>.</w:t>
      </w:r>
    </w:p>
    <w:p w:rsidR="00132277" w:rsidRDefault="00132277" w:rsidP="00132277">
      <w:pPr>
        <w:spacing w:after="0" w:line="240" w:lineRule="auto"/>
        <w:textAlignment w:val="baseline"/>
        <w:rPr>
          <w:rFonts w:ascii="inherit" w:eastAsia="Times New Roman" w:hAnsi="inherit" w:cs="Times New Roman"/>
          <w:color w:val="1B1B1B"/>
          <w:lang w:eastAsia="pl-PL"/>
        </w:rPr>
      </w:pPr>
      <w:r w:rsidRPr="00132277">
        <w:rPr>
          <w:rFonts w:ascii="inherit" w:eastAsia="Times New Roman" w:hAnsi="inherit" w:cs="Times New Roman"/>
          <w:color w:val="1B1B1B"/>
          <w:lang w:eastAsia="pl-PL"/>
        </w:rPr>
        <w:t xml:space="preserve">Sposób i tryb składania zgłoszeń do </w:t>
      </w:r>
      <w:proofErr w:type="spellStart"/>
      <w:r w:rsidRPr="00132277">
        <w:rPr>
          <w:rFonts w:ascii="inherit" w:eastAsia="Times New Roman" w:hAnsi="inherit" w:cs="Times New Roman"/>
          <w:color w:val="1B1B1B"/>
          <w:lang w:eastAsia="pl-PL"/>
        </w:rPr>
        <w:t>CRBR</w:t>
      </w:r>
      <w:proofErr w:type="spellEnd"/>
      <w:r w:rsidRPr="00132277">
        <w:rPr>
          <w:rFonts w:ascii="inherit" w:eastAsia="Times New Roman" w:hAnsi="inherit" w:cs="Times New Roman"/>
          <w:color w:val="1B1B1B"/>
          <w:lang w:eastAsia="pl-PL"/>
        </w:rPr>
        <w:t xml:space="preserve"> oraz sposób sporządzania i składania wniosków o udostępnienie informacji, wraz z trybem składania i udostępniania, jest uregulowany w rozporządzeniach Ministra Finansów.</w:t>
      </w:r>
    </w:p>
    <w:p w:rsidR="00132277" w:rsidRDefault="00132277" w:rsidP="00132277">
      <w:pPr>
        <w:pStyle w:val="NormalnyWeb"/>
        <w:spacing w:before="0" w:beforeAutospacing="0" w:after="0" w:afterAutospacing="0"/>
        <w:textAlignment w:val="baseline"/>
        <w:rPr>
          <w:rFonts w:ascii="inherit" w:hAnsi="inherit"/>
          <w:color w:val="1B1B1B"/>
        </w:rPr>
      </w:pPr>
      <w:r>
        <w:rPr>
          <w:rStyle w:val="Pogrubienie"/>
          <w:rFonts w:ascii="inherit" w:hAnsi="inherit"/>
          <w:color w:val="1B1B1B"/>
          <w:sz w:val="22"/>
          <w:szCs w:val="22"/>
        </w:rPr>
        <w:t>Okres przejściowy związany z uruchomieniem rejestru</w:t>
      </w:r>
    </w:p>
    <w:p w:rsidR="00132277" w:rsidRDefault="00132277" w:rsidP="00132277">
      <w:pPr>
        <w:pStyle w:val="NormalnyWeb"/>
        <w:spacing w:before="0" w:beforeAutospacing="0" w:after="0" w:afterAutospacing="0"/>
        <w:textAlignment w:val="baseline"/>
        <w:rPr>
          <w:rFonts w:ascii="inherit" w:hAnsi="inherit"/>
          <w:color w:val="1B1B1B"/>
        </w:rPr>
      </w:pPr>
      <w:r>
        <w:rPr>
          <w:rFonts w:ascii="inherit" w:hAnsi="inherit"/>
          <w:color w:val="1B1B1B"/>
          <w:sz w:val="22"/>
          <w:szCs w:val="22"/>
        </w:rPr>
        <w:t>Spółki, które zostały wpisane do KRS przed dniem wejścia w życie przepisów dotyczących Centralnego Rejestru Beneficjentów Rzeczywistych (13 października 2019 r.), mają obowiązek zgłosić informacje o beneficjentach rzeczywistych</w:t>
      </w:r>
      <w:r>
        <w:rPr>
          <w:rStyle w:val="Pogrubienie"/>
          <w:rFonts w:ascii="inherit" w:hAnsi="inherit"/>
          <w:color w:val="1B1B1B"/>
          <w:sz w:val="22"/>
          <w:szCs w:val="22"/>
        </w:rPr>
        <w:t xml:space="preserve"> </w:t>
      </w:r>
      <w:r w:rsidRPr="00132277">
        <w:rPr>
          <w:rStyle w:val="Pogrubienie"/>
          <w:rFonts w:ascii="inherit" w:hAnsi="inherit"/>
          <w:color w:val="1B1B1B"/>
          <w:sz w:val="22"/>
          <w:szCs w:val="22"/>
          <w:highlight w:val="yellow"/>
        </w:rPr>
        <w:t>do 13 kwietnia 2020 r.</w:t>
      </w:r>
      <w:r>
        <w:rPr>
          <w:rStyle w:val="Pogrubienie"/>
          <w:rFonts w:ascii="inherit" w:hAnsi="inherit"/>
          <w:color w:val="1B1B1B"/>
          <w:sz w:val="22"/>
          <w:szCs w:val="22"/>
        </w:rPr>
        <w:t xml:space="preserve"> </w:t>
      </w:r>
    </w:p>
    <w:p w:rsidR="00132277" w:rsidRDefault="00132277" w:rsidP="00132277">
      <w:pPr>
        <w:pStyle w:val="NormalnyWeb"/>
        <w:spacing w:before="0" w:beforeAutospacing="0" w:after="0" w:afterAutospacing="0"/>
        <w:textAlignment w:val="baseline"/>
        <w:rPr>
          <w:rFonts w:ascii="inherit" w:hAnsi="inherit"/>
          <w:color w:val="1B1B1B"/>
        </w:rPr>
      </w:pPr>
      <w:r>
        <w:rPr>
          <w:rFonts w:ascii="inherit" w:hAnsi="inherit"/>
          <w:color w:val="1B1B1B"/>
          <w:sz w:val="22"/>
          <w:szCs w:val="22"/>
        </w:rPr>
        <w:t xml:space="preserve">Podmioty, które zostały wpisane do KRS po 13 października 2019 r., mają obowiązek zgłosić dane beneficjenta rzeczywistego </w:t>
      </w:r>
      <w:r>
        <w:rPr>
          <w:rStyle w:val="Pogrubienie"/>
          <w:rFonts w:ascii="inherit" w:hAnsi="inherit"/>
          <w:color w:val="1B1B1B"/>
          <w:sz w:val="22"/>
          <w:szCs w:val="22"/>
        </w:rPr>
        <w:t xml:space="preserve">nie później niż w terminie 7. </w:t>
      </w:r>
      <w:proofErr w:type="gramStart"/>
      <w:r>
        <w:rPr>
          <w:rStyle w:val="Pogrubienie"/>
          <w:rFonts w:ascii="inherit" w:hAnsi="inherit"/>
          <w:color w:val="1B1B1B"/>
          <w:sz w:val="22"/>
          <w:szCs w:val="22"/>
        </w:rPr>
        <w:t>dni</w:t>
      </w:r>
      <w:proofErr w:type="gramEnd"/>
      <w:r>
        <w:rPr>
          <w:rStyle w:val="Pogrubienie"/>
          <w:rFonts w:ascii="inherit" w:hAnsi="inherit"/>
          <w:color w:val="1B1B1B"/>
          <w:sz w:val="22"/>
          <w:szCs w:val="22"/>
        </w:rPr>
        <w:t xml:space="preserve"> od dnia wpisu do KRS.</w:t>
      </w:r>
    </w:p>
    <w:p w:rsidR="00132277" w:rsidRDefault="00132277" w:rsidP="00132277">
      <w:pPr>
        <w:spacing w:after="0" w:line="240" w:lineRule="auto"/>
        <w:textAlignment w:val="baseline"/>
        <w:rPr>
          <w:rFonts w:ascii="inherit" w:eastAsia="Times New Roman" w:hAnsi="inherit" w:cs="Times New Roman"/>
          <w:color w:val="1B1B1B"/>
          <w:sz w:val="24"/>
          <w:szCs w:val="24"/>
          <w:lang w:eastAsia="pl-PL"/>
        </w:rPr>
      </w:pPr>
    </w:p>
    <w:p w:rsidR="00132277" w:rsidRDefault="00132277" w:rsidP="00132277">
      <w:pPr>
        <w:spacing w:after="0" w:line="240" w:lineRule="auto"/>
        <w:textAlignment w:val="baseline"/>
        <w:rPr>
          <w:rFonts w:ascii="inherit" w:eastAsia="Times New Roman" w:hAnsi="inherit" w:cs="Times New Roman"/>
          <w:color w:val="1B1B1B"/>
          <w:sz w:val="24"/>
          <w:szCs w:val="24"/>
          <w:lang w:eastAsia="pl-PL"/>
        </w:rPr>
      </w:pPr>
      <w:r w:rsidRPr="00132277">
        <w:rPr>
          <w:rFonts w:ascii="inherit" w:eastAsia="Times New Roman" w:hAnsi="inherit" w:cs="Times New Roman"/>
          <w:color w:val="1B1B1B"/>
          <w:sz w:val="24"/>
          <w:szCs w:val="24"/>
          <w:lang w:eastAsia="pl-PL"/>
        </w:rPr>
        <w:t>https</w:t>
      </w:r>
      <w:proofErr w:type="gramStart"/>
      <w:r w:rsidRPr="00132277">
        <w:rPr>
          <w:rFonts w:ascii="inherit" w:eastAsia="Times New Roman" w:hAnsi="inherit" w:cs="Times New Roman"/>
          <w:color w:val="1B1B1B"/>
          <w:sz w:val="24"/>
          <w:szCs w:val="24"/>
          <w:lang w:eastAsia="pl-PL"/>
        </w:rPr>
        <w:t>://bdo</w:t>
      </w:r>
      <w:proofErr w:type="gramEnd"/>
      <w:r w:rsidRPr="00132277">
        <w:rPr>
          <w:rFonts w:ascii="inherit" w:eastAsia="Times New Roman" w:hAnsi="inherit" w:cs="Times New Roman"/>
          <w:color w:val="1B1B1B"/>
          <w:sz w:val="24"/>
          <w:szCs w:val="24"/>
          <w:lang w:eastAsia="pl-PL"/>
        </w:rPr>
        <w:t>.</w:t>
      </w:r>
      <w:proofErr w:type="gramStart"/>
      <w:r w:rsidRPr="00132277">
        <w:rPr>
          <w:rFonts w:ascii="inherit" w:eastAsia="Times New Roman" w:hAnsi="inherit" w:cs="Times New Roman"/>
          <w:color w:val="1B1B1B"/>
          <w:sz w:val="24"/>
          <w:szCs w:val="24"/>
          <w:lang w:eastAsia="pl-PL"/>
        </w:rPr>
        <w:t>mos</w:t>
      </w:r>
      <w:proofErr w:type="gramEnd"/>
      <w:r w:rsidRPr="00132277">
        <w:rPr>
          <w:rFonts w:ascii="inherit" w:eastAsia="Times New Roman" w:hAnsi="inherit" w:cs="Times New Roman"/>
          <w:color w:val="1B1B1B"/>
          <w:sz w:val="24"/>
          <w:szCs w:val="24"/>
          <w:lang w:eastAsia="pl-PL"/>
        </w:rPr>
        <w:t>.gov.</w:t>
      </w:r>
      <w:proofErr w:type="gramStart"/>
      <w:r w:rsidRPr="00132277">
        <w:rPr>
          <w:rFonts w:ascii="inherit" w:eastAsia="Times New Roman" w:hAnsi="inherit" w:cs="Times New Roman"/>
          <w:color w:val="1B1B1B"/>
          <w:sz w:val="24"/>
          <w:szCs w:val="24"/>
          <w:lang w:eastAsia="pl-PL"/>
        </w:rPr>
        <w:t>pl</w:t>
      </w:r>
      <w:proofErr w:type="gramEnd"/>
      <w:r w:rsidRPr="00132277">
        <w:rPr>
          <w:rFonts w:ascii="inherit" w:eastAsia="Times New Roman" w:hAnsi="inherit" w:cs="Times New Roman"/>
          <w:color w:val="1B1B1B"/>
          <w:sz w:val="24"/>
          <w:szCs w:val="24"/>
          <w:lang w:eastAsia="pl-PL"/>
        </w:rPr>
        <w:t>/news/przedsiebiorcy-zwolnieni-z-obowiazku-rejestracji-w-bdo-nowe-rozporzadzenie-ministra-klimatu/</w:t>
      </w:r>
    </w:p>
    <w:p w:rsidR="00132277" w:rsidRPr="00132277" w:rsidRDefault="00132277" w:rsidP="00132277">
      <w:pPr>
        <w:shd w:val="clear" w:color="auto" w:fill="FFFFFF"/>
        <w:spacing w:after="0" w:line="240" w:lineRule="auto"/>
        <w:textAlignment w:val="baseline"/>
        <w:rPr>
          <w:rFonts w:ascii="inherit" w:eastAsia="Times New Roman" w:hAnsi="inherit" w:cs="Times New Roman"/>
          <w:color w:val="333333"/>
          <w:sz w:val="24"/>
          <w:szCs w:val="24"/>
          <w:lang w:eastAsia="pl-PL"/>
        </w:rPr>
      </w:pPr>
      <w:r w:rsidRPr="00132277">
        <w:rPr>
          <w:rFonts w:ascii="inherit" w:eastAsia="Times New Roman" w:hAnsi="inherit" w:cs="Times New Roman"/>
          <w:noProof/>
          <w:color w:val="000000"/>
          <w:sz w:val="24"/>
          <w:szCs w:val="24"/>
          <w:bdr w:val="none" w:sz="0" w:space="0" w:color="auto" w:frame="1"/>
          <w:lang w:eastAsia="pl-PL"/>
        </w:rPr>
        <w:drawing>
          <wp:inline distT="0" distB="0" distL="0" distR="0" wp14:anchorId="7890024B" wp14:editId="47B4F1D4">
            <wp:extent cx="3733800" cy="485775"/>
            <wp:effectExtent l="0" t="0" r="0" b="9525"/>
            <wp:docPr id="1" name="Obraz 1" descr="BD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0" cy="485775"/>
                    </a:xfrm>
                    <a:prstGeom prst="rect">
                      <a:avLst/>
                    </a:prstGeom>
                    <a:noFill/>
                    <a:ln>
                      <a:noFill/>
                    </a:ln>
                  </pic:spPr>
                </pic:pic>
              </a:graphicData>
            </a:graphic>
          </wp:inline>
        </w:drawing>
      </w:r>
    </w:p>
    <w:p w:rsidR="00132277" w:rsidRPr="00132277" w:rsidRDefault="00132277" w:rsidP="00132277">
      <w:pPr>
        <w:shd w:val="clear" w:color="auto" w:fill="FFFFFF"/>
        <w:spacing w:after="0" w:line="360" w:lineRule="atLeast"/>
        <w:textAlignment w:val="baseline"/>
        <w:rPr>
          <w:rFonts w:ascii="inherit" w:eastAsia="Times New Roman" w:hAnsi="inherit" w:cs="Times New Roman"/>
          <w:color w:val="333333"/>
          <w:sz w:val="33"/>
          <w:szCs w:val="33"/>
          <w:lang w:eastAsia="pl-PL"/>
        </w:rPr>
      </w:pPr>
      <w:hyperlink r:id="rId16" w:history="1">
        <w:proofErr w:type="spellStart"/>
        <w:r w:rsidRPr="00132277">
          <w:rPr>
            <w:rFonts w:ascii="inherit" w:eastAsia="Times New Roman" w:hAnsi="inherit" w:cs="Times New Roman"/>
            <w:color w:val="000000"/>
            <w:sz w:val="33"/>
            <w:szCs w:val="33"/>
            <w:u w:val="single"/>
            <w:bdr w:val="none" w:sz="0" w:space="0" w:color="auto" w:frame="1"/>
            <w:lang w:eastAsia="pl-PL"/>
          </w:rPr>
          <w:t>BDO</w:t>
        </w:r>
        <w:proofErr w:type="spellEnd"/>
      </w:hyperlink>
    </w:p>
    <w:p w:rsidR="00132277" w:rsidRPr="00132277" w:rsidRDefault="00132277" w:rsidP="00132277">
      <w:pPr>
        <w:pBdr>
          <w:top w:val="single" w:sz="6" w:space="1" w:color="auto"/>
        </w:pBdr>
        <w:spacing w:after="0" w:line="240" w:lineRule="auto"/>
        <w:jc w:val="center"/>
        <w:rPr>
          <w:rFonts w:ascii="Arial" w:eastAsia="Times New Roman" w:hAnsi="Arial" w:cs="Arial"/>
          <w:vanish/>
          <w:sz w:val="16"/>
          <w:szCs w:val="16"/>
          <w:lang w:eastAsia="pl-PL"/>
        </w:rPr>
      </w:pPr>
      <w:r w:rsidRPr="00132277">
        <w:rPr>
          <w:rFonts w:ascii="Arial" w:eastAsia="Times New Roman" w:hAnsi="Arial" w:cs="Arial"/>
          <w:vanish/>
          <w:sz w:val="16"/>
          <w:szCs w:val="16"/>
          <w:lang w:eastAsia="pl-PL"/>
        </w:rPr>
        <w:t>Dół formularza</w:t>
      </w:r>
    </w:p>
    <w:p w:rsidR="00132277" w:rsidRPr="00132277" w:rsidRDefault="00132277" w:rsidP="00132277">
      <w:pPr>
        <w:shd w:val="clear" w:color="auto" w:fill="FFFFFF"/>
        <w:spacing w:after="0" w:line="240" w:lineRule="auto"/>
        <w:textAlignment w:val="baseline"/>
        <w:outlineLvl w:val="0"/>
        <w:rPr>
          <w:rFonts w:ascii="inherit" w:eastAsia="Times New Roman" w:hAnsi="inherit" w:cs="Times New Roman"/>
          <w:color w:val="333333"/>
          <w:kern w:val="36"/>
          <w:sz w:val="38"/>
          <w:szCs w:val="38"/>
          <w:lang w:eastAsia="pl-PL"/>
        </w:rPr>
      </w:pPr>
      <w:r w:rsidRPr="00132277">
        <w:rPr>
          <w:rFonts w:ascii="inherit" w:eastAsia="Times New Roman" w:hAnsi="inherit" w:cs="Times New Roman"/>
          <w:color w:val="333333"/>
          <w:kern w:val="36"/>
          <w:sz w:val="38"/>
          <w:szCs w:val="38"/>
          <w:lang w:eastAsia="pl-PL"/>
        </w:rPr>
        <w:t xml:space="preserve">Przedsiębiorcy zwolnieni z obowiązku rejestracji w </w:t>
      </w:r>
      <w:proofErr w:type="spellStart"/>
      <w:r w:rsidRPr="00132277">
        <w:rPr>
          <w:rFonts w:ascii="inherit" w:eastAsia="Times New Roman" w:hAnsi="inherit" w:cs="Times New Roman"/>
          <w:color w:val="333333"/>
          <w:kern w:val="36"/>
          <w:sz w:val="38"/>
          <w:szCs w:val="38"/>
          <w:lang w:eastAsia="pl-PL"/>
        </w:rPr>
        <w:t>BDO</w:t>
      </w:r>
      <w:proofErr w:type="spellEnd"/>
      <w:r w:rsidRPr="00132277">
        <w:rPr>
          <w:rFonts w:ascii="inherit" w:eastAsia="Times New Roman" w:hAnsi="inherit" w:cs="Times New Roman"/>
          <w:color w:val="333333"/>
          <w:kern w:val="36"/>
          <w:sz w:val="38"/>
          <w:szCs w:val="38"/>
          <w:lang w:eastAsia="pl-PL"/>
        </w:rPr>
        <w:t xml:space="preserve"> – nowe Rozporządzenie Ministra Klimatu</w:t>
      </w:r>
    </w:p>
    <w:p w:rsidR="00132277" w:rsidRPr="00132277" w:rsidRDefault="00132277" w:rsidP="00132277">
      <w:pPr>
        <w:numPr>
          <w:ilvl w:val="0"/>
          <w:numId w:val="21"/>
        </w:numPr>
        <w:shd w:val="clear" w:color="auto" w:fill="FFFFFF"/>
        <w:spacing w:after="0" w:line="240" w:lineRule="auto"/>
        <w:ind w:left="0"/>
        <w:textAlignment w:val="baseline"/>
        <w:rPr>
          <w:rFonts w:ascii="inherit" w:eastAsia="Times New Roman" w:hAnsi="inherit" w:cs="Times New Roman"/>
          <w:color w:val="333333"/>
          <w:sz w:val="24"/>
          <w:szCs w:val="24"/>
          <w:lang w:eastAsia="pl-PL"/>
        </w:rPr>
      </w:pPr>
      <w:hyperlink r:id="rId17" w:tooltip="STRONA GŁÓWNA" w:history="1">
        <w:r w:rsidRPr="00132277">
          <w:rPr>
            <w:rFonts w:ascii="inherit" w:eastAsia="Times New Roman" w:hAnsi="inherit" w:cs="Times New Roman"/>
            <w:color w:val="A1A1A1"/>
            <w:sz w:val="18"/>
            <w:szCs w:val="18"/>
            <w:u w:val="single"/>
            <w:bdr w:val="none" w:sz="0" w:space="0" w:color="auto" w:frame="1"/>
            <w:lang w:eastAsia="pl-PL"/>
          </w:rPr>
          <w:t>STRONA GŁÓWNA</w:t>
        </w:r>
      </w:hyperlink>
    </w:p>
    <w:p w:rsidR="00132277" w:rsidRPr="00132277" w:rsidRDefault="00132277" w:rsidP="00132277">
      <w:pPr>
        <w:numPr>
          <w:ilvl w:val="0"/>
          <w:numId w:val="21"/>
        </w:numPr>
        <w:shd w:val="clear" w:color="auto" w:fill="FFFFFF"/>
        <w:spacing w:after="0" w:line="240" w:lineRule="auto"/>
        <w:ind w:left="0"/>
        <w:textAlignment w:val="baseline"/>
        <w:rPr>
          <w:rFonts w:ascii="inherit" w:eastAsia="Times New Roman" w:hAnsi="inherit" w:cs="Times New Roman"/>
          <w:color w:val="333333"/>
          <w:sz w:val="24"/>
          <w:szCs w:val="24"/>
          <w:lang w:eastAsia="pl-PL"/>
        </w:rPr>
      </w:pPr>
      <w:hyperlink r:id="rId18" w:tooltip="News" w:history="1">
        <w:r w:rsidRPr="00132277">
          <w:rPr>
            <w:rFonts w:ascii="inherit" w:eastAsia="Times New Roman" w:hAnsi="inherit" w:cs="Times New Roman"/>
            <w:color w:val="A1A1A1"/>
            <w:sz w:val="18"/>
            <w:szCs w:val="18"/>
            <w:u w:val="single"/>
            <w:bdr w:val="none" w:sz="0" w:space="0" w:color="auto" w:frame="1"/>
            <w:lang w:eastAsia="pl-PL"/>
          </w:rPr>
          <w:t>News</w:t>
        </w:r>
      </w:hyperlink>
    </w:p>
    <w:p w:rsidR="00132277" w:rsidRPr="00132277" w:rsidRDefault="00132277" w:rsidP="00132277">
      <w:pPr>
        <w:numPr>
          <w:ilvl w:val="0"/>
          <w:numId w:val="21"/>
        </w:numPr>
        <w:shd w:val="clear" w:color="auto" w:fill="FFFFFF"/>
        <w:spacing w:after="0" w:line="240" w:lineRule="auto"/>
        <w:ind w:left="0"/>
        <w:textAlignment w:val="baseline"/>
        <w:rPr>
          <w:rFonts w:ascii="inherit" w:eastAsia="Times New Roman" w:hAnsi="inherit" w:cs="Times New Roman"/>
          <w:color w:val="333333"/>
          <w:sz w:val="24"/>
          <w:szCs w:val="24"/>
          <w:lang w:eastAsia="pl-PL"/>
        </w:rPr>
      </w:pPr>
      <w:r w:rsidRPr="00132277">
        <w:rPr>
          <w:rFonts w:ascii="inherit" w:eastAsia="Times New Roman" w:hAnsi="inherit" w:cs="Times New Roman"/>
          <w:color w:val="A1A1A1"/>
          <w:sz w:val="18"/>
          <w:szCs w:val="18"/>
          <w:bdr w:val="none" w:sz="0" w:space="0" w:color="auto" w:frame="1"/>
          <w:lang w:eastAsia="pl-PL"/>
        </w:rPr>
        <w:t xml:space="preserve">Przedsiębiorcy zwolnieni z obowiązku rejestracji w </w:t>
      </w:r>
      <w:proofErr w:type="spellStart"/>
      <w:r w:rsidRPr="00132277">
        <w:rPr>
          <w:rFonts w:ascii="inherit" w:eastAsia="Times New Roman" w:hAnsi="inherit" w:cs="Times New Roman"/>
          <w:color w:val="A1A1A1"/>
          <w:sz w:val="18"/>
          <w:szCs w:val="18"/>
          <w:bdr w:val="none" w:sz="0" w:space="0" w:color="auto" w:frame="1"/>
          <w:lang w:eastAsia="pl-PL"/>
        </w:rPr>
        <w:t>BDO</w:t>
      </w:r>
      <w:proofErr w:type="spellEnd"/>
      <w:r w:rsidRPr="00132277">
        <w:rPr>
          <w:rFonts w:ascii="inherit" w:eastAsia="Times New Roman" w:hAnsi="inherit" w:cs="Times New Roman"/>
          <w:color w:val="A1A1A1"/>
          <w:sz w:val="18"/>
          <w:szCs w:val="18"/>
          <w:bdr w:val="none" w:sz="0" w:space="0" w:color="auto" w:frame="1"/>
          <w:lang w:eastAsia="pl-PL"/>
        </w:rPr>
        <w:t xml:space="preserve"> – nowe Rozporządzenie Ministra Klimatu</w:t>
      </w:r>
    </w:p>
    <w:p w:rsidR="00132277" w:rsidRPr="00132277" w:rsidRDefault="00132277" w:rsidP="00132277">
      <w:pPr>
        <w:shd w:val="clear" w:color="auto" w:fill="FFFFFF"/>
        <w:spacing w:after="135"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color w:val="606060"/>
          <w:sz w:val="24"/>
          <w:szCs w:val="24"/>
          <w:lang w:eastAsia="pl-PL"/>
        </w:rPr>
        <w:t xml:space="preserve">Dnia 30 grudnia 2019 r. w Dzienniku Ustaw zostało opublikowane nowe rozporządzenie w sprawie rodzajów odpadów i ilości odpadów, dla których nie ma obowiązku prowadzenia ewidencji. (Dz.U. 2019, </w:t>
      </w:r>
      <w:proofErr w:type="gramStart"/>
      <w:r w:rsidRPr="00132277">
        <w:rPr>
          <w:rFonts w:ascii="inherit" w:eastAsia="Times New Roman" w:hAnsi="inherit" w:cs="Times New Roman"/>
          <w:color w:val="606060"/>
          <w:sz w:val="24"/>
          <w:szCs w:val="24"/>
          <w:lang w:eastAsia="pl-PL"/>
        </w:rPr>
        <w:t>poz</w:t>
      </w:r>
      <w:proofErr w:type="gramEnd"/>
      <w:r w:rsidRPr="00132277">
        <w:rPr>
          <w:rFonts w:ascii="inherit" w:eastAsia="Times New Roman" w:hAnsi="inherit" w:cs="Times New Roman"/>
          <w:color w:val="606060"/>
          <w:sz w:val="24"/>
          <w:szCs w:val="24"/>
          <w:lang w:eastAsia="pl-PL"/>
        </w:rPr>
        <w:t>. 2531)</w:t>
      </w:r>
    </w:p>
    <w:p w:rsidR="00132277" w:rsidRPr="00132277" w:rsidRDefault="00132277" w:rsidP="00132277">
      <w:pPr>
        <w:shd w:val="clear" w:color="auto" w:fill="FFFFFF"/>
        <w:spacing w:after="135"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color w:val="606060"/>
          <w:sz w:val="24"/>
          <w:szCs w:val="24"/>
          <w:lang w:eastAsia="pl-PL"/>
        </w:rPr>
        <w:t xml:space="preserve">W obowiązującym dotychczas rozporządzeniu 18 grup odpadów było zwolnionych z ich ewidencjonowania, teraz ilość ta wzrosła do 46 grup. Przepisy nowego rozporządzenia zmieniają także ilości </w:t>
      </w:r>
      <w:proofErr w:type="gramStart"/>
      <w:r w:rsidRPr="00132277">
        <w:rPr>
          <w:rFonts w:ascii="inherit" w:eastAsia="Times New Roman" w:hAnsi="inherit" w:cs="Times New Roman"/>
          <w:color w:val="606060"/>
          <w:sz w:val="24"/>
          <w:szCs w:val="24"/>
          <w:lang w:eastAsia="pl-PL"/>
        </w:rPr>
        <w:t>odpadów dla których</w:t>
      </w:r>
      <w:proofErr w:type="gramEnd"/>
      <w:r w:rsidRPr="00132277">
        <w:rPr>
          <w:rFonts w:ascii="inherit" w:eastAsia="Times New Roman" w:hAnsi="inherit" w:cs="Times New Roman"/>
          <w:color w:val="606060"/>
          <w:sz w:val="24"/>
          <w:szCs w:val="24"/>
          <w:lang w:eastAsia="pl-PL"/>
        </w:rPr>
        <w:t xml:space="preserve"> nie ma obowiązku prowadzenia ewidencji.</w:t>
      </w:r>
    </w:p>
    <w:p w:rsidR="00132277" w:rsidRPr="00132277" w:rsidRDefault="00132277" w:rsidP="00132277">
      <w:pPr>
        <w:shd w:val="clear" w:color="auto" w:fill="FFFFFF"/>
        <w:spacing w:after="135"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color w:val="606060"/>
          <w:sz w:val="24"/>
          <w:szCs w:val="24"/>
          <w:lang w:eastAsia="pl-PL"/>
        </w:rPr>
        <w:t>Te kwestie są szczególnie istotne w przypadku małych i średnich przedsiębiorstw, które wytwarzają stosunkowo małe ilości odpadów.</w:t>
      </w:r>
    </w:p>
    <w:p w:rsidR="00132277" w:rsidRPr="00132277" w:rsidRDefault="00132277" w:rsidP="00132277">
      <w:pPr>
        <w:shd w:val="clear" w:color="auto" w:fill="FFFFFF"/>
        <w:spacing w:after="0"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b/>
          <w:bCs/>
          <w:color w:val="606060"/>
          <w:sz w:val="24"/>
          <w:szCs w:val="24"/>
          <w:bdr w:val="none" w:sz="0" w:space="0" w:color="auto" w:frame="1"/>
          <w:lang w:eastAsia="pl-PL"/>
        </w:rPr>
        <w:t>Opakowania, a ewidencja odpadów</w:t>
      </w:r>
    </w:p>
    <w:p w:rsidR="00132277" w:rsidRPr="00132277" w:rsidRDefault="00132277" w:rsidP="00132277">
      <w:pPr>
        <w:shd w:val="clear" w:color="auto" w:fill="FFFFFF"/>
        <w:spacing w:after="135"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color w:val="606060"/>
          <w:sz w:val="24"/>
          <w:szCs w:val="24"/>
          <w:lang w:eastAsia="pl-PL"/>
        </w:rPr>
        <w:t>Na mocy nowego rozporządzenia Minister Klimatu zwolnił z obowiązku prowadzenia ewidencji m.in. część wytwórców odpadów opakowaniowych. Odpady z grupy 15 powstają często w wyniku rozpakowywania opakowań zbiorczych – w przypadku małych przedsiębiorstw takie odpady powstają w niewielkich ilościach. Regulacje w tym zakresie dotyczą w szczególności właścicieli sklepów, biur i innych punktów handlowych, do których produkty dostarczane są w opakowaniach zbiorczych (np. w kartonach, opakowaniach z tworzyw sztucznych itp.).</w:t>
      </w:r>
    </w:p>
    <w:p w:rsidR="00132277" w:rsidRPr="00132277" w:rsidRDefault="00132277" w:rsidP="00132277">
      <w:pPr>
        <w:shd w:val="clear" w:color="auto" w:fill="FFFFFF"/>
        <w:spacing w:after="0"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b/>
          <w:bCs/>
          <w:color w:val="606060"/>
          <w:sz w:val="24"/>
          <w:szCs w:val="24"/>
          <w:bdr w:val="none" w:sz="0" w:space="0" w:color="auto" w:frame="1"/>
          <w:lang w:eastAsia="pl-PL"/>
        </w:rPr>
        <w:t>Odpady niebezpieczne, a ewidencja odpadów</w:t>
      </w:r>
    </w:p>
    <w:p w:rsidR="00132277" w:rsidRPr="00132277" w:rsidRDefault="00132277" w:rsidP="00132277">
      <w:pPr>
        <w:shd w:val="clear" w:color="auto" w:fill="FFFFFF"/>
        <w:spacing w:after="135"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color w:val="606060"/>
          <w:sz w:val="24"/>
          <w:szCs w:val="24"/>
          <w:lang w:eastAsia="pl-PL"/>
        </w:rPr>
        <w:t xml:space="preserve">Nowe rozporządzenie Ministerstwa Klimatu wyłącza także z obowiązku prowadzenia ewidencji część grup odpadów niebezpiecznych. Wśród nich znajdują się m. in. zużyte urządzenia zawierające elementy niebezpieczne, baterie zawierające rtęć, czy opakowania z metali zawierające pozostałości substancji niebezpiecznych lub nimi zanieczyszczone. Te ostatnie są szczególnie istotne z punktu widzenia zakładów kosmetycznych czy fryzjerskich, </w:t>
      </w:r>
      <w:r w:rsidRPr="00132277">
        <w:rPr>
          <w:rFonts w:ascii="inherit" w:eastAsia="Times New Roman" w:hAnsi="inherit" w:cs="Times New Roman"/>
          <w:color w:val="606060"/>
          <w:sz w:val="24"/>
          <w:szCs w:val="24"/>
          <w:lang w:eastAsia="pl-PL"/>
        </w:rPr>
        <w:lastRenderedPageBreak/>
        <w:t xml:space="preserve">w którym takie opakowania są powszechnie używane. Należy jednak pamiętać, że jeżeli w wyniku prowadzonej przez siebie działalności wykonuje się zabiegi w </w:t>
      </w:r>
      <w:proofErr w:type="gramStart"/>
      <w:r w:rsidRPr="00132277">
        <w:rPr>
          <w:rFonts w:ascii="inherit" w:eastAsia="Times New Roman" w:hAnsi="inherit" w:cs="Times New Roman"/>
          <w:color w:val="606060"/>
          <w:sz w:val="24"/>
          <w:szCs w:val="24"/>
          <w:lang w:eastAsia="pl-PL"/>
        </w:rPr>
        <w:t>związku z którymi</w:t>
      </w:r>
      <w:proofErr w:type="gramEnd"/>
      <w:r w:rsidRPr="00132277">
        <w:rPr>
          <w:rFonts w:ascii="inherit" w:eastAsia="Times New Roman" w:hAnsi="inherit" w:cs="Times New Roman"/>
          <w:color w:val="606060"/>
          <w:sz w:val="24"/>
          <w:szCs w:val="24"/>
          <w:lang w:eastAsia="pl-PL"/>
        </w:rPr>
        <w:t xml:space="preserve"> pojawiają się odpady medyczne (które są odpadami niebezpiecznymi) – takie firmy muszą znaleźć się bezwzględnie w </w:t>
      </w:r>
      <w:proofErr w:type="spellStart"/>
      <w:r w:rsidRPr="00132277">
        <w:rPr>
          <w:rFonts w:ascii="inherit" w:eastAsia="Times New Roman" w:hAnsi="inherit" w:cs="Times New Roman"/>
          <w:color w:val="606060"/>
          <w:sz w:val="24"/>
          <w:szCs w:val="24"/>
          <w:lang w:eastAsia="pl-PL"/>
        </w:rPr>
        <w:t>BDO</w:t>
      </w:r>
      <w:proofErr w:type="spellEnd"/>
      <w:r w:rsidRPr="00132277">
        <w:rPr>
          <w:rFonts w:ascii="inherit" w:eastAsia="Times New Roman" w:hAnsi="inherit" w:cs="Times New Roman"/>
          <w:color w:val="606060"/>
          <w:sz w:val="24"/>
          <w:szCs w:val="24"/>
          <w:lang w:eastAsia="pl-PL"/>
        </w:rPr>
        <w:t>.</w:t>
      </w:r>
    </w:p>
    <w:p w:rsidR="00132277" w:rsidRPr="00132277" w:rsidRDefault="00132277" w:rsidP="00132277">
      <w:pPr>
        <w:shd w:val="clear" w:color="auto" w:fill="FFFFFF"/>
        <w:spacing w:after="135" w:line="240" w:lineRule="auto"/>
        <w:textAlignment w:val="baseline"/>
        <w:rPr>
          <w:rFonts w:ascii="inherit" w:eastAsia="Times New Roman" w:hAnsi="inherit" w:cs="Times New Roman"/>
          <w:color w:val="606060"/>
          <w:sz w:val="24"/>
          <w:szCs w:val="24"/>
          <w:lang w:eastAsia="pl-PL"/>
        </w:rPr>
      </w:pPr>
      <w:r w:rsidRPr="00132277">
        <w:rPr>
          <w:rFonts w:ascii="inherit" w:eastAsia="Times New Roman" w:hAnsi="inherit" w:cs="Times New Roman"/>
          <w:color w:val="606060"/>
          <w:sz w:val="24"/>
          <w:szCs w:val="24"/>
          <w:lang w:eastAsia="pl-PL"/>
        </w:rPr>
        <w:t xml:space="preserve">Warto zaznaczyć, że zmiana rozporządzenia jest szczególnie istotna z punktu widzenia małych i średnich przedsiębiorstw, w których eksploatowane są także drukarki lub świetlówki, które nie będą musiały z powodu ich posiadania rejestrować się w </w:t>
      </w:r>
      <w:proofErr w:type="spellStart"/>
      <w:r w:rsidRPr="00132277">
        <w:rPr>
          <w:rFonts w:ascii="inherit" w:eastAsia="Times New Roman" w:hAnsi="inherit" w:cs="Times New Roman"/>
          <w:color w:val="606060"/>
          <w:sz w:val="24"/>
          <w:szCs w:val="24"/>
          <w:lang w:eastAsia="pl-PL"/>
        </w:rPr>
        <w:t>BDO</w:t>
      </w:r>
      <w:proofErr w:type="spellEnd"/>
      <w:r w:rsidRPr="00132277">
        <w:rPr>
          <w:rFonts w:ascii="inherit" w:eastAsia="Times New Roman" w:hAnsi="inherit" w:cs="Times New Roman"/>
          <w:color w:val="606060"/>
          <w:sz w:val="24"/>
          <w:szCs w:val="24"/>
          <w:lang w:eastAsia="pl-PL"/>
        </w:rPr>
        <w:t xml:space="preserve">, o ile nie przekroczą odpowiednich ilości tych </w:t>
      </w:r>
      <w:proofErr w:type="gramStart"/>
      <w:r w:rsidRPr="00132277">
        <w:rPr>
          <w:rFonts w:ascii="inherit" w:eastAsia="Times New Roman" w:hAnsi="inherit" w:cs="Times New Roman"/>
          <w:color w:val="606060"/>
          <w:sz w:val="24"/>
          <w:szCs w:val="24"/>
          <w:lang w:eastAsia="pl-PL"/>
        </w:rPr>
        <w:t>odpadów dla których</w:t>
      </w:r>
      <w:proofErr w:type="gramEnd"/>
      <w:r w:rsidRPr="00132277">
        <w:rPr>
          <w:rFonts w:ascii="inherit" w:eastAsia="Times New Roman" w:hAnsi="inherit" w:cs="Times New Roman"/>
          <w:color w:val="606060"/>
          <w:sz w:val="24"/>
          <w:szCs w:val="24"/>
          <w:lang w:eastAsia="pl-PL"/>
        </w:rPr>
        <w:t xml:space="preserve"> nie ma obowiązku prowadzenia ewidencji.</w:t>
      </w:r>
    </w:p>
    <w:p w:rsidR="00132277" w:rsidRPr="00132277" w:rsidRDefault="00132277" w:rsidP="00132277">
      <w:pPr>
        <w:numPr>
          <w:ilvl w:val="0"/>
          <w:numId w:val="22"/>
        </w:numPr>
        <w:shd w:val="clear" w:color="auto" w:fill="FFFFFF"/>
        <w:spacing w:after="0" w:line="240" w:lineRule="auto"/>
        <w:ind w:left="300"/>
        <w:textAlignment w:val="baseline"/>
        <w:rPr>
          <w:rFonts w:ascii="inherit" w:eastAsia="Times New Roman" w:hAnsi="inherit" w:cs="Times New Roman"/>
          <w:color w:val="606060"/>
          <w:sz w:val="24"/>
          <w:szCs w:val="24"/>
          <w:lang w:eastAsia="pl-PL"/>
        </w:rPr>
      </w:pPr>
      <w:hyperlink r:id="rId19" w:history="1">
        <w:r w:rsidRPr="00132277">
          <w:rPr>
            <w:rFonts w:ascii="inherit" w:eastAsia="Times New Roman" w:hAnsi="inherit" w:cs="Times New Roman"/>
            <w:color w:val="37A0E6"/>
            <w:sz w:val="24"/>
            <w:szCs w:val="24"/>
            <w:u w:val="single"/>
            <w:bdr w:val="none" w:sz="0" w:space="0" w:color="auto" w:frame="1"/>
            <w:lang w:eastAsia="pl-PL"/>
          </w:rPr>
          <w:t>Rozporządzenie Ministra Klimatu z dnia 23 grudnia 2019 r. w sprawie rodzajów odpadów i ilości odpadów, dla których nie ma obowiązku prowadzenia ewidencji odpadów</w:t>
        </w:r>
      </w:hyperlink>
    </w:p>
    <w:p w:rsidR="00132277" w:rsidRPr="00132277" w:rsidRDefault="00132277" w:rsidP="00132277">
      <w:pPr>
        <w:numPr>
          <w:ilvl w:val="0"/>
          <w:numId w:val="22"/>
        </w:numPr>
        <w:shd w:val="clear" w:color="auto" w:fill="FFFFFF"/>
        <w:spacing w:after="0" w:line="240" w:lineRule="auto"/>
        <w:ind w:left="300"/>
        <w:textAlignment w:val="baseline"/>
        <w:rPr>
          <w:rFonts w:ascii="inherit" w:eastAsia="Times New Roman" w:hAnsi="inherit" w:cs="Times New Roman"/>
          <w:color w:val="606060"/>
          <w:sz w:val="24"/>
          <w:szCs w:val="24"/>
          <w:lang w:eastAsia="pl-PL"/>
        </w:rPr>
      </w:pPr>
      <w:hyperlink r:id="rId20" w:history="1">
        <w:r w:rsidRPr="00132277">
          <w:rPr>
            <w:rFonts w:ascii="inherit" w:eastAsia="Times New Roman" w:hAnsi="inherit" w:cs="Times New Roman"/>
            <w:color w:val="37A0E6"/>
            <w:sz w:val="24"/>
            <w:szCs w:val="24"/>
            <w:u w:val="single"/>
            <w:bdr w:val="none" w:sz="0" w:space="0" w:color="auto" w:frame="1"/>
            <w:lang w:eastAsia="pl-PL"/>
          </w:rPr>
          <w:t xml:space="preserve">Objaśnienie prawne Ministerstwa Klimatu dotyczące obowiązku rejestracji w Bazie danych o produktach i opakowaniach oraz o </w:t>
        </w:r>
        <w:bookmarkStart w:id="0" w:name="_GoBack"/>
        <w:r w:rsidRPr="00132277">
          <w:rPr>
            <w:rFonts w:ascii="inherit" w:eastAsia="Times New Roman" w:hAnsi="inherit" w:cs="Times New Roman"/>
            <w:color w:val="37A0E6"/>
            <w:sz w:val="24"/>
            <w:szCs w:val="24"/>
            <w:u w:val="single"/>
            <w:bdr w:val="none" w:sz="0" w:space="0" w:color="auto" w:frame="1"/>
            <w:lang w:eastAsia="pl-PL"/>
          </w:rPr>
          <w:t xml:space="preserve">gospodarce </w:t>
        </w:r>
        <w:bookmarkEnd w:id="0"/>
        <w:r w:rsidRPr="00132277">
          <w:rPr>
            <w:rFonts w:ascii="inherit" w:eastAsia="Times New Roman" w:hAnsi="inherit" w:cs="Times New Roman"/>
            <w:color w:val="37A0E6"/>
            <w:sz w:val="24"/>
            <w:szCs w:val="24"/>
            <w:u w:val="single"/>
            <w:bdr w:val="none" w:sz="0" w:space="0" w:color="auto" w:frame="1"/>
            <w:lang w:eastAsia="pl-PL"/>
          </w:rPr>
          <w:t>odpadami przez mikro przedsiębiorców, małych i średnich przedsiębiorców.</w:t>
        </w:r>
      </w:hyperlink>
    </w:p>
    <w:p w:rsidR="00132277" w:rsidRPr="00132277" w:rsidRDefault="00132277" w:rsidP="00132277">
      <w:pPr>
        <w:spacing w:after="0" w:line="240" w:lineRule="auto"/>
        <w:textAlignment w:val="baseline"/>
        <w:rPr>
          <w:rFonts w:ascii="inherit" w:eastAsia="Times New Roman" w:hAnsi="inherit" w:cs="Times New Roman"/>
          <w:color w:val="1B1B1B"/>
          <w:sz w:val="24"/>
          <w:szCs w:val="24"/>
          <w:lang w:eastAsia="pl-PL"/>
        </w:rPr>
      </w:pPr>
    </w:p>
    <w:sectPr w:rsidR="00132277" w:rsidRPr="0013227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77" w:rsidRDefault="00132277" w:rsidP="003260BC">
      <w:pPr>
        <w:spacing w:after="0" w:line="240" w:lineRule="auto"/>
      </w:pPr>
      <w:r>
        <w:separator/>
      </w:r>
    </w:p>
  </w:endnote>
  <w:endnote w:type="continuationSeparator" w:id="0">
    <w:p w:rsidR="00132277" w:rsidRDefault="00132277" w:rsidP="0032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inherit">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16873"/>
      <w:docPartObj>
        <w:docPartGallery w:val="Page Numbers (Bottom of Page)"/>
        <w:docPartUnique/>
      </w:docPartObj>
    </w:sdtPr>
    <w:sdtContent>
      <w:p w:rsidR="00132277" w:rsidRDefault="00132277">
        <w:pPr>
          <w:pStyle w:val="Stopka"/>
          <w:jc w:val="center"/>
        </w:pPr>
        <w:r>
          <w:fldChar w:fldCharType="begin"/>
        </w:r>
        <w:r>
          <w:instrText>PAGE   \* MERGEFORMAT</w:instrText>
        </w:r>
        <w:r>
          <w:fldChar w:fldCharType="separate"/>
        </w:r>
        <w:r w:rsidR="000F20EF">
          <w:rPr>
            <w:noProof/>
          </w:rPr>
          <w:t>10</w:t>
        </w:r>
        <w:r>
          <w:fldChar w:fldCharType="end"/>
        </w:r>
      </w:p>
    </w:sdtContent>
  </w:sdt>
  <w:p w:rsidR="00132277" w:rsidRDefault="001322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77" w:rsidRDefault="00132277" w:rsidP="003260BC">
      <w:pPr>
        <w:spacing w:after="0" w:line="240" w:lineRule="auto"/>
      </w:pPr>
      <w:r>
        <w:separator/>
      </w:r>
    </w:p>
  </w:footnote>
  <w:footnote w:type="continuationSeparator" w:id="0">
    <w:p w:rsidR="00132277" w:rsidRDefault="00132277" w:rsidP="0032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61C"/>
    <w:multiLevelType w:val="multilevel"/>
    <w:tmpl w:val="3B0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60E3E"/>
    <w:multiLevelType w:val="multilevel"/>
    <w:tmpl w:val="2A9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2B51C3"/>
    <w:multiLevelType w:val="multilevel"/>
    <w:tmpl w:val="D94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AB00F7"/>
    <w:multiLevelType w:val="multilevel"/>
    <w:tmpl w:val="7EB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E11DE0"/>
    <w:multiLevelType w:val="multilevel"/>
    <w:tmpl w:val="B4BC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586A28"/>
    <w:multiLevelType w:val="multilevel"/>
    <w:tmpl w:val="7DC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756CF"/>
    <w:multiLevelType w:val="multilevel"/>
    <w:tmpl w:val="1E6EE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45925"/>
    <w:multiLevelType w:val="multilevel"/>
    <w:tmpl w:val="50C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E52818"/>
    <w:multiLevelType w:val="multilevel"/>
    <w:tmpl w:val="93A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A77E1"/>
    <w:multiLevelType w:val="multilevel"/>
    <w:tmpl w:val="A498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6275EE"/>
    <w:multiLevelType w:val="multilevel"/>
    <w:tmpl w:val="E476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31328"/>
    <w:multiLevelType w:val="multilevel"/>
    <w:tmpl w:val="512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C0B3A"/>
    <w:multiLevelType w:val="multilevel"/>
    <w:tmpl w:val="C238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42DC3"/>
    <w:multiLevelType w:val="multilevel"/>
    <w:tmpl w:val="8990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C67CE7"/>
    <w:multiLevelType w:val="multilevel"/>
    <w:tmpl w:val="DBE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401F25"/>
    <w:multiLevelType w:val="multilevel"/>
    <w:tmpl w:val="08760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5932B2"/>
    <w:multiLevelType w:val="multilevel"/>
    <w:tmpl w:val="1CE2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78511B"/>
    <w:multiLevelType w:val="multilevel"/>
    <w:tmpl w:val="627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8C71DA"/>
    <w:multiLevelType w:val="multilevel"/>
    <w:tmpl w:val="234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DF45EB"/>
    <w:multiLevelType w:val="multilevel"/>
    <w:tmpl w:val="3A2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1E3120"/>
    <w:multiLevelType w:val="multilevel"/>
    <w:tmpl w:val="9DC4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0305DD"/>
    <w:multiLevelType w:val="multilevel"/>
    <w:tmpl w:val="32E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7"/>
  </w:num>
  <w:num w:numId="4">
    <w:abstractNumId w:val="20"/>
  </w:num>
  <w:num w:numId="5">
    <w:abstractNumId w:val="14"/>
  </w:num>
  <w:num w:numId="6">
    <w:abstractNumId w:val="16"/>
  </w:num>
  <w:num w:numId="7">
    <w:abstractNumId w:val="21"/>
  </w:num>
  <w:num w:numId="8">
    <w:abstractNumId w:val="3"/>
  </w:num>
  <w:num w:numId="9">
    <w:abstractNumId w:val="2"/>
  </w:num>
  <w:num w:numId="10">
    <w:abstractNumId w:val="19"/>
  </w:num>
  <w:num w:numId="11">
    <w:abstractNumId w:val="10"/>
  </w:num>
  <w:num w:numId="12">
    <w:abstractNumId w:val="18"/>
  </w:num>
  <w:num w:numId="13">
    <w:abstractNumId w:val="11"/>
  </w:num>
  <w:num w:numId="14">
    <w:abstractNumId w:val="1"/>
  </w:num>
  <w:num w:numId="15">
    <w:abstractNumId w:val="7"/>
  </w:num>
  <w:num w:numId="16">
    <w:abstractNumId w:val="13"/>
  </w:num>
  <w:num w:numId="17">
    <w:abstractNumId w:val="9"/>
  </w:num>
  <w:num w:numId="18">
    <w:abstractNumId w:val="5"/>
  </w:num>
  <w:num w:numId="19">
    <w:abstractNumId w:val="12"/>
  </w:num>
  <w:num w:numId="20">
    <w:abstractNumId w:val="15"/>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40"/>
    <w:rsid w:val="000F20EF"/>
    <w:rsid w:val="00132277"/>
    <w:rsid w:val="00311D24"/>
    <w:rsid w:val="003260BC"/>
    <w:rsid w:val="004C618E"/>
    <w:rsid w:val="009A1D40"/>
    <w:rsid w:val="009F5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1D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D40"/>
    <w:rPr>
      <w:rFonts w:ascii="Tahoma" w:hAnsi="Tahoma" w:cs="Tahoma"/>
      <w:sz w:val="16"/>
      <w:szCs w:val="16"/>
    </w:rPr>
  </w:style>
  <w:style w:type="paragraph" w:styleId="Nagwek">
    <w:name w:val="header"/>
    <w:basedOn w:val="Normalny"/>
    <w:link w:val="NagwekZnak"/>
    <w:uiPriority w:val="99"/>
    <w:unhideWhenUsed/>
    <w:rsid w:val="00326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0BC"/>
  </w:style>
  <w:style w:type="paragraph" w:styleId="Stopka">
    <w:name w:val="footer"/>
    <w:basedOn w:val="Normalny"/>
    <w:link w:val="StopkaZnak"/>
    <w:uiPriority w:val="99"/>
    <w:unhideWhenUsed/>
    <w:rsid w:val="00326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0BC"/>
  </w:style>
  <w:style w:type="paragraph" w:styleId="NormalnyWeb">
    <w:name w:val="Normal (Web)"/>
    <w:basedOn w:val="Normalny"/>
    <w:uiPriority w:val="99"/>
    <w:semiHidden/>
    <w:unhideWhenUsed/>
    <w:rsid w:val="001322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322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1D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D40"/>
    <w:rPr>
      <w:rFonts w:ascii="Tahoma" w:hAnsi="Tahoma" w:cs="Tahoma"/>
      <w:sz w:val="16"/>
      <w:szCs w:val="16"/>
    </w:rPr>
  </w:style>
  <w:style w:type="paragraph" w:styleId="Nagwek">
    <w:name w:val="header"/>
    <w:basedOn w:val="Normalny"/>
    <w:link w:val="NagwekZnak"/>
    <w:uiPriority w:val="99"/>
    <w:unhideWhenUsed/>
    <w:rsid w:val="00326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0BC"/>
  </w:style>
  <w:style w:type="paragraph" w:styleId="Stopka">
    <w:name w:val="footer"/>
    <w:basedOn w:val="Normalny"/>
    <w:link w:val="StopkaZnak"/>
    <w:uiPriority w:val="99"/>
    <w:unhideWhenUsed/>
    <w:rsid w:val="00326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0BC"/>
  </w:style>
  <w:style w:type="paragraph" w:styleId="NormalnyWeb">
    <w:name w:val="Normal (Web)"/>
    <w:basedOn w:val="Normalny"/>
    <w:uiPriority w:val="99"/>
    <w:semiHidden/>
    <w:unhideWhenUsed/>
    <w:rsid w:val="001322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32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752">
      <w:bodyDiv w:val="1"/>
      <w:marLeft w:val="0"/>
      <w:marRight w:val="0"/>
      <w:marTop w:val="0"/>
      <w:marBottom w:val="0"/>
      <w:divBdr>
        <w:top w:val="none" w:sz="0" w:space="0" w:color="auto"/>
        <w:left w:val="none" w:sz="0" w:space="0" w:color="auto"/>
        <w:bottom w:val="none" w:sz="0" w:space="0" w:color="auto"/>
        <w:right w:val="none" w:sz="0" w:space="0" w:color="auto"/>
      </w:divBdr>
      <w:divsChild>
        <w:div w:id="214971882">
          <w:marLeft w:val="0"/>
          <w:marRight w:val="0"/>
          <w:marTop w:val="0"/>
          <w:marBottom w:val="0"/>
          <w:divBdr>
            <w:top w:val="none" w:sz="0" w:space="0" w:color="auto"/>
            <w:left w:val="none" w:sz="0" w:space="0" w:color="auto"/>
            <w:bottom w:val="none" w:sz="0" w:space="0" w:color="auto"/>
            <w:right w:val="none" w:sz="0" w:space="0" w:color="auto"/>
          </w:divBdr>
        </w:div>
        <w:div w:id="1368287760">
          <w:marLeft w:val="0"/>
          <w:marRight w:val="0"/>
          <w:marTop w:val="1200"/>
          <w:marBottom w:val="240"/>
          <w:divBdr>
            <w:top w:val="none" w:sz="0" w:space="0" w:color="auto"/>
            <w:left w:val="none" w:sz="0" w:space="0" w:color="auto"/>
            <w:bottom w:val="none" w:sz="0" w:space="0" w:color="auto"/>
            <w:right w:val="none" w:sz="0" w:space="0" w:color="auto"/>
          </w:divBdr>
          <w:divsChild>
            <w:div w:id="1919746095">
              <w:marLeft w:val="0"/>
              <w:marRight w:val="0"/>
              <w:marTop w:val="0"/>
              <w:marBottom w:val="0"/>
              <w:divBdr>
                <w:top w:val="none" w:sz="0" w:space="0" w:color="auto"/>
                <w:left w:val="none" w:sz="0" w:space="0" w:color="auto"/>
                <w:bottom w:val="none" w:sz="0" w:space="0" w:color="auto"/>
                <w:right w:val="none" w:sz="0" w:space="0" w:color="auto"/>
              </w:divBdr>
            </w:div>
            <w:div w:id="499077843">
              <w:marLeft w:val="0"/>
              <w:marRight w:val="0"/>
              <w:marTop w:val="0"/>
              <w:marBottom w:val="0"/>
              <w:divBdr>
                <w:top w:val="none" w:sz="0" w:space="0" w:color="auto"/>
                <w:left w:val="none" w:sz="0" w:space="0" w:color="auto"/>
                <w:bottom w:val="none" w:sz="0" w:space="0" w:color="auto"/>
                <w:right w:val="none" w:sz="0" w:space="0" w:color="auto"/>
              </w:divBdr>
            </w:div>
            <w:div w:id="178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9059">
      <w:bodyDiv w:val="1"/>
      <w:marLeft w:val="0"/>
      <w:marRight w:val="0"/>
      <w:marTop w:val="0"/>
      <w:marBottom w:val="0"/>
      <w:divBdr>
        <w:top w:val="none" w:sz="0" w:space="0" w:color="auto"/>
        <w:left w:val="none" w:sz="0" w:space="0" w:color="auto"/>
        <w:bottom w:val="none" w:sz="0" w:space="0" w:color="auto"/>
        <w:right w:val="none" w:sz="0" w:space="0" w:color="auto"/>
      </w:divBdr>
    </w:div>
    <w:div w:id="833648353">
      <w:bodyDiv w:val="1"/>
      <w:marLeft w:val="0"/>
      <w:marRight w:val="0"/>
      <w:marTop w:val="0"/>
      <w:marBottom w:val="0"/>
      <w:divBdr>
        <w:top w:val="none" w:sz="0" w:space="0" w:color="auto"/>
        <w:left w:val="none" w:sz="0" w:space="0" w:color="auto"/>
        <w:bottom w:val="none" w:sz="0" w:space="0" w:color="auto"/>
        <w:right w:val="none" w:sz="0" w:space="0" w:color="auto"/>
      </w:divBdr>
      <w:divsChild>
        <w:div w:id="722824660">
          <w:marLeft w:val="0"/>
          <w:marRight w:val="0"/>
          <w:marTop w:val="0"/>
          <w:marBottom w:val="0"/>
          <w:divBdr>
            <w:top w:val="none" w:sz="0" w:space="0" w:color="auto"/>
            <w:left w:val="none" w:sz="0" w:space="0" w:color="auto"/>
            <w:bottom w:val="none" w:sz="0" w:space="0" w:color="auto"/>
            <w:right w:val="none" w:sz="0" w:space="0" w:color="auto"/>
          </w:divBdr>
          <w:divsChild>
            <w:div w:id="1339776184">
              <w:marLeft w:val="0"/>
              <w:marRight w:val="0"/>
              <w:marTop w:val="0"/>
              <w:marBottom w:val="0"/>
              <w:divBdr>
                <w:top w:val="none" w:sz="0" w:space="0" w:color="auto"/>
                <w:left w:val="none" w:sz="0" w:space="0" w:color="auto"/>
                <w:bottom w:val="none" w:sz="0" w:space="0" w:color="auto"/>
                <w:right w:val="none" w:sz="0" w:space="0" w:color="auto"/>
              </w:divBdr>
            </w:div>
          </w:divsChild>
        </w:div>
        <w:div w:id="1961643337">
          <w:marLeft w:val="0"/>
          <w:marRight w:val="0"/>
          <w:marTop w:val="0"/>
          <w:marBottom w:val="0"/>
          <w:divBdr>
            <w:top w:val="none" w:sz="0" w:space="0" w:color="auto"/>
            <w:left w:val="none" w:sz="0" w:space="0" w:color="auto"/>
            <w:bottom w:val="none" w:sz="0" w:space="0" w:color="auto"/>
            <w:right w:val="none" w:sz="0" w:space="0" w:color="auto"/>
          </w:divBdr>
        </w:div>
        <w:div w:id="1888376412">
          <w:marLeft w:val="0"/>
          <w:marRight w:val="0"/>
          <w:marTop w:val="240"/>
          <w:marBottom w:val="0"/>
          <w:divBdr>
            <w:top w:val="none" w:sz="0" w:space="0" w:color="auto"/>
            <w:left w:val="none" w:sz="0" w:space="0" w:color="auto"/>
            <w:bottom w:val="none" w:sz="0" w:space="0" w:color="auto"/>
            <w:right w:val="none" w:sz="0" w:space="0" w:color="auto"/>
          </w:divBdr>
          <w:divsChild>
            <w:div w:id="32507933">
              <w:marLeft w:val="0"/>
              <w:marRight w:val="0"/>
              <w:marTop w:val="0"/>
              <w:marBottom w:val="0"/>
              <w:divBdr>
                <w:top w:val="none" w:sz="0" w:space="0" w:color="auto"/>
                <w:left w:val="none" w:sz="0" w:space="0" w:color="auto"/>
                <w:bottom w:val="none" w:sz="0" w:space="0" w:color="auto"/>
                <w:right w:val="none" w:sz="0" w:space="0" w:color="auto"/>
              </w:divBdr>
            </w:div>
            <w:div w:id="70735844">
              <w:marLeft w:val="0"/>
              <w:marRight w:val="0"/>
              <w:marTop w:val="0"/>
              <w:marBottom w:val="0"/>
              <w:divBdr>
                <w:top w:val="none" w:sz="0" w:space="0" w:color="auto"/>
                <w:left w:val="none" w:sz="0" w:space="0" w:color="auto"/>
                <w:bottom w:val="none" w:sz="0" w:space="0" w:color="auto"/>
                <w:right w:val="none" w:sz="0" w:space="0" w:color="auto"/>
              </w:divBdr>
              <w:divsChild>
                <w:div w:id="20379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0831">
      <w:bodyDiv w:val="1"/>
      <w:marLeft w:val="0"/>
      <w:marRight w:val="0"/>
      <w:marTop w:val="0"/>
      <w:marBottom w:val="0"/>
      <w:divBdr>
        <w:top w:val="none" w:sz="0" w:space="0" w:color="auto"/>
        <w:left w:val="none" w:sz="0" w:space="0" w:color="auto"/>
        <w:bottom w:val="none" w:sz="0" w:space="0" w:color="auto"/>
        <w:right w:val="none" w:sz="0" w:space="0" w:color="auto"/>
      </w:divBdr>
      <w:divsChild>
        <w:div w:id="2022200107">
          <w:marLeft w:val="0"/>
          <w:marRight w:val="0"/>
          <w:marTop w:val="0"/>
          <w:marBottom w:val="0"/>
          <w:divBdr>
            <w:top w:val="none" w:sz="0" w:space="0" w:color="auto"/>
            <w:left w:val="none" w:sz="0" w:space="0" w:color="auto"/>
            <w:bottom w:val="none" w:sz="0" w:space="0" w:color="auto"/>
            <w:right w:val="none" w:sz="0" w:space="0" w:color="auto"/>
          </w:divBdr>
        </w:div>
      </w:divsChild>
    </w:div>
    <w:div w:id="2075469832">
      <w:bodyDiv w:val="1"/>
      <w:marLeft w:val="0"/>
      <w:marRight w:val="0"/>
      <w:marTop w:val="0"/>
      <w:marBottom w:val="0"/>
      <w:divBdr>
        <w:top w:val="none" w:sz="0" w:space="0" w:color="auto"/>
        <w:left w:val="none" w:sz="0" w:space="0" w:color="auto"/>
        <w:bottom w:val="none" w:sz="0" w:space="0" w:color="auto"/>
        <w:right w:val="none" w:sz="0" w:space="0" w:color="auto"/>
      </w:divBdr>
      <w:divsChild>
        <w:div w:id="1730304990">
          <w:marLeft w:val="0"/>
          <w:marRight w:val="0"/>
          <w:marTop w:val="0"/>
          <w:marBottom w:val="0"/>
          <w:divBdr>
            <w:top w:val="single" w:sz="6" w:space="0" w:color="B2B2B2"/>
            <w:left w:val="single" w:sz="6" w:space="0" w:color="B2B2B2"/>
            <w:bottom w:val="single" w:sz="6" w:space="0" w:color="B2B2B2"/>
            <w:right w:val="single" w:sz="6" w:space="0" w:color="B2B2B2"/>
          </w:divBdr>
          <w:divsChild>
            <w:div w:id="1870678921">
              <w:marLeft w:val="0"/>
              <w:marRight w:val="0"/>
              <w:marTop w:val="0"/>
              <w:marBottom w:val="0"/>
              <w:divBdr>
                <w:top w:val="none" w:sz="0" w:space="0" w:color="auto"/>
                <w:left w:val="none" w:sz="0" w:space="0" w:color="auto"/>
                <w:bottom w:val="none" w:sz="0" w:space="0" w:color="auto"/>
                <w:right w:val="none" w:sz="0" w:space="0" w:color="auto"/>
              </w:divBdr>
            </w:div>
          </w:divsChild>
        </w:div>
        <w:div w:id="960845267">
          <w:marLeft w:val="0"/>
          <w:marRight w:val="0"/>
          <w:marTop w:val="0"/>
          <w:marBottom w:val="0"/>
          <w:divBdr>
            <w:top w:val="none" w:sz="0" w:space="0" w:color="auto"/>
            <w:left w:val="none" w:sz="0" w:space="0" w:color="auto"/>
            <w:bottom w:val="none" w:sz="0" w:space="0" w:color="auto"/>
            <w:right w:val="none" w:sz="0" w:space="0" w:color="auto"/>
          </w:divBdr>
          <w:divsChild>
            <w:div w:id="542863610">
              <w:marLeft w:val="0"/>
              <w:marRight w:val="0"/>
              <w:marTop w:val="0"/>
              <w:marBottom w:val="0"/>
              <w:divBdr>
                <w:top w:val="none" w:sz="0" w:space="0" w:color="auto"/>
                <w:left w:val="none" w:sz="0" w:space="0" w:color="auto"/>
                <w:bottom w:val="none" w:sz="0" w:space="0" w:color="auto"/>
                <w:right w:val="none" w:sz="0" w:space="0" w:color="auto"/>
              </w:divBdr>
              <w:divsChild>
                <w:div w:id="490633208">
                  <w:marLeft w:val="0"/>
                  <w:marRight w:val="0"/>
                  <w:marTop w:val="0"/>
                  <w:marBottom w:val="0"/>
                  <w:divBdr>
                    <w:top w:val="none" w:sz="0" w:space="0" w:color="auto"/>
                    <w:left w:val="none" w:sz="0" w:space="0" w:color="auto"/>
                    <w:bottom w:val="none" w:sz="0" w:space="0" w:color="auto"/>
                    <w:right w:val="none" w:sz="0" w:space="0" w:color="auto"/>
                  </w:divBdr>
                  <w:divsChild>
                    <w:div w:id="27536438">
                      <w:marLeft w:val="180"/>
                      <w:marRight w:val="0"/>
                      <w:marTop w:val="0"/>
                      <w:marBottom w:val="0"/>
                      <w:divBdr>
                        <w:top w:val="none" w:sz="0" w:space="0" w:color="auto"/>
                        <w:left w:val="none" w:sz="0" w:space="0" w:color="auto"/>
                        <w:bottom w:val="none" w:sz="0" w:space="0" w:color="auto"/>
                        <w:right w:val="none" w:sz="0" w:space="0" w:color="auto"/>
                      </w:divBdr>
                    </w:div>
                  </w:divsChild>
                </w:div>
                <w:div w:id="159318570">
                  <w:marLeft w:val="0"/>
                  <w:marRight w:val="0"/>
                  <w:marTop w:val="0"/>
                  <w:marBottom w:val="0"/>
                  <w:divBdr>
                    <w:top w:val="none" w:sz="0" w:space="0" w:color="auto"/>
                    <w:left w:val="none" w:sz="0" w:space="0" w:color="auto"/>
                    <w:bottom w:val="none" w:sz="0" w:space="0" w:color="auto"/>
                    <w:right w:val="none" w:sz="0" w:space="0" w:color="auto"/>
                  </w:divBdr>
                  <w:divsChild>
                    <w:div w:id="259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6044">
              <w:marLeft w:val="0"/>
              <w:marRight w:val="0"/>
              <w:marTop w:val="0"/>
              <w:marBottom w:val="0"/>
              <w:divBdr>
                <w:top w:val="none" w:sz="0" w:space="0" w:color="auto"/>
                <w:left w:val="none" w:sz="0" w:space="0" w:color="auto"/>
                <w:bottom w:val="none" w:sz="0" w:space="0" w:color="auto"/>
                <w:right w:val="none" w:sz="0" w:space="0" w:color="auto"/>
              </w:divBdr>
              <w:divsChild>
                <w:div w:id="946431390">
                  <w:marLeft w:val="0"/>
                  <w:marRight w:val="0"/>
                  <w:marTop w:val="0"/>
                  <w:marBottom w:val="0"/>
                  <w:divBdr>
                    <w:top w:val="none" w:sz="0" w:space="0" w:color="auto"/>
                    <w:left w:val="none" w:sz="0" w:space="0" w:color="auto"/>
                    <w:bottom w:val="none" w:sz="0" w:space="0" w:color="auto"/>
                    <w:right w:val="none" w:sz="0" w:space="0" w:color="auto"/>
                  </w:divBdr>
                  <w:divsChild>
                    <w:div w:id="1407340214">
                      <w:marLeft w:val="0"/>
                      <w:marRight w:val="0"/>
                      <w:marTop w:val="0"/>
                      <w:marBottom w:val="0"/>
                      <w:divBdr>
                        <w:top w:val="none" w:sz="0" w:space="0" w:color="auto"/>
                        <w:left w:val="none" w:sz="0" w:space="0" w:color="auto"/>
                        <w:bottom w:val="none" w:sz="0" w:space="0" w:color="auto"/>
                        <w:right w:val="none" w:sz="0" w:space="0" w:color="auto"/>
                      </w:divBdr>
                      <w:divsChild>
                        <w:div w:id="2133550325">
                          <w:marLeft w:val="0"/>
                          <w:marRight w:val="0"/>
                          <w:marTop w:val="0"/>
                          <w:marBottom w:val="0"/>
                          <w:divBdr>
                            <w:top w:val="none" w:sz="0" w:space="0" w:color="auto"/>
                            <w:left w:val="none" w:sz="0" w:space="0" w:color="auto"/>
                            <w:bottom w:val="none" w:sz="0" w:space="0" w:color="auto"/>
                            <w:right w:val="none" w:sz="0" w:space="0" w:color="auto"/>
                          </w:divBdr>
                        </w:div>
                        <w:div w:id="148792332">
                          <w:marLeft w:val="0"/>
                          <w:marRight w:val="0"/>
                          <w:marTop w:val="0"/>
                          <w:marBottom w:val="0"/>
                          <w:divBdr>
                            <w:top w:val="none" w:sz="0" w:space="0" w:color="auto"/>
                            <w:left w:val="none" w:sz="0" w:space="0" w:color="auto"/>
                            <w:bottom w:val="none" w:sz="0" w:space="0" w:color="auto"/>
                            <w:right w:val="none" w:sz="0" w:space="0" w:color="auto"/>
                          </w:divBdr>
                          <w:divsChild>
                            <w:div w:id="1490904368">
                              <w:marLeft w:val="0"/>
                              <w:marRight w:val="0"/>
                              <w:marTop w:val="0"/>
                              <w:marBottom w:val="0"/>
                              <w:divBdr>
                                <w:top w:val="none" w:sz="0" w:space="0" w:color="auto"/>
                                <w:left w:val="none" w:sz="0" w:space="0" w:color="auto"/>
                                <w:bottom w:val="none" w:sz="0" w:space="0" w:color="auto"/>
                                <w:right w:val="none" w:sz="0" w:space="0" w:color="auto"/>
                              </w:divBdr>
                              <w:divsChild>
                                <w:div w:id="5192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563381">
          <w:marLeft w:val="0"/>
          <w:marRight w:val="0"/>
          <w:marTop w:val="0"/>
          <w:marBottom w:val="0"/>
          <w:divBdr>
            <w:top w:val="none" w:sz="0" w:space="0" w:color="auto"/>
            <w:left w:val="none" w:sz="0" w:space="0" w:color="auto"/>
            <w:bottom w:val="none" w:sz="0" w:space="0" w:color="auto"/>
            <w:right w:val="none" w:sz="0" w:space="0" w:color="auto"/>
          </w:divBdr>
        </w:div>
        <w:div w:id="354158442">
          <w:marLeft w:val="0"/>
          <w:marRight w:val="0"/>
          <w:marTop w:val="0"/>
          <w:marBottom w:val="0"/>
          <w:divBdr>
            <w:top w:val="none" w:sz="0" w:space="0" w:color="auto"/>
            <w:left w:val="none" w:sz="0" w:space="0" w:color="auto"/>
            <w:bottom w:val="none" w:sz="0" w:space="0" w:color="auto"/>
            <w:right w:val="none" w:sz="0" w:space="0" w:color="auto"/>
          </w:divBdr>
          <w:divsChild>
            <w:div w:id="567888008">
              <w:marLeft w:val="0"/>
              <w:marRight w:val="0"/>
              <w:marTop w:val="0"/>
              <w:marBottom w:val="0"/>
              <w:divBdr>
                <w:top w:val="none" w:sz="0" w:space="0" w:color="auto"/>
                <w:left w:val="none" w:sz="0" w:space="0" w:color="auto"/>
                <w:bottom w:val="none" w:sz="0" w:space="0" w:color="auto"/>
                <w:right w:val="none" w:sz="0" w:space="0" w:color="auto"/>
              </w:divBdr>
              <w:divsChild>
                <w:div w:id="1900436784">
                  <w:marLeft w:val="0"/>
                  <w:marRight w:val="0"/>
                  <w:marTop w:val="0"/>
                  <w:marBottom w:val="0"/>
                  <w:divBdr>
                    <w:top w:val="none" w:sz="0" w:space="0" w:color="auto"/>
                    <w:left w:val="none" w:sz="0" w:space="0" w:color="auto"/>
                    <w:bottom w:val="none" w:sz="0" w:space="0" w:color="auto"/>
                    <w:right w:val="none" w:sz="0" w:space="0" w:color="auto"/>
                  </w:divBdr>
                  <w:divsChild>
                    <w:div w:id="888346288">
                      <w:marLeft w:val="0"/>
                      <w:marRight w:val="0"/>
                      <w:marTop w:val="0"/>
                      <w:marBottom w:val="0"/>
                      <w:divBdr>
                        <w:top w:val="none" w:sz="0" w:space="0" w:color="auto"/>
                        <w:left w:val="none" w:sz="0" w:space="0" w:color="auto"/>
                        <w:bottom w:val="none" w:sz="0" w:space="0" w:color="auto"/>
                        <w:right w:val="none" w:sz="0" w:space="0" w:color="auto"/>
                      </w:divBdr>
                      <w:divsChild>
                        <w:div w:id="1002395192">
                          <w:marLeft w:val="0"/>
                          <w:marRight w:val="0"/>
                          <w:marTop w:val="180"/>
                          <w:marBottom w:val="0"/>
                          <w:divBdr>
                            <w:top w:val="none" w:sz="0" w:space="0" w:color="auto"/>
                            <w:left w:val="none" w:sz="0" w:space="0" w:color="auto"/>
                            <w:bottom w:val="single" w:sz="6" w:space="0" w:color="C5C5C5"/>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generator-mikrorachunku-podatkowego" TargetMode="External"/><Relationship Id="rId13" Type="http://schemas.openxmlformats.org/officeDocument/2006/relationships/hyperlink" Target="https://www.podatki.gov.pl/vat/abc-vat/matryca-stawek-vat/" TargetMode="External"/><Relationship Id="rId18" Type="http://schemas.openxmlformats.org/officeDocument/2006/relationships/hyperlink" Target="https://bdo.mos.gov.pl/new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is.gov.pl/zalatwianie-spraw/wiazaca-informacja-stawkowa-wis" TargetMode="External"/><Relationship Id="rId17" Type="http://schemas.openxmlformats.org/officeDocument/2006/relationships/hyperlink" Target="https://bdo.mos.gov.pl/" TargetMode="External"/><Relationship Id="rId2" Type="http://schemas.openxmlformats.org/officeDocument/2006/relationships/styles" Target="styles.xml"/><Relationship Id="rId16" Type="http://schemas.openxmlformats.org/officeDocument/2006/relationships/hyperlink" Target="https://bdo.mos.gov.pl/" TargetMode="External"/><Relationship Id="rId20" Type="http://schemas.openxmlformats.org/officeDocument/2006/relationships/hyperlink" Target="https://bdo.mos.gov.pl/wp-content/uploads/2019/12/Obja%C5%9Bnienia-prawne-Ministra-Klimatu-dot-wpisu-do-rejestru-BDO.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datki.gov.pl/vat/kasy-onlin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podatki.gov.pl/vat/bezpieczna-transakcja/wykaz-podatnikow-vat/plik-plaski/" TargetMode="External"/><Relationship Id="rId19" Type="http://schemas.openxmlformats.org/officeDocument/2006/relationships/hyperlink" Target="http://dziennikustaw.gov.pl/du/2019/2531/1" TargetMode="External"/><Relationship Id="rId4" Type="http://schemas.openxmlformats.org/officeDocument/2006/relationships/settings" Target="settings.xml"/><Relationship Id="rId9" Type="http://schemas.openxmlformats.org/officeDocument/2006/relationships/hyperlink" Target="https://www.podatki.gov.pl/mikrorachunek-podatkowy/" TargetMode="External"/><Relationship Id="rId14" Type="http://schemas.openxmlformats.org/officeDocument/2006/relationships/hyperlink" Target="https://bdo.mos.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3885</Words>
  <Characters>23316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DFP</Company>
  <LinksUpToDate>false</LinksUpToDate>
  <CharactersWithSpaces>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Tomczyk</dc:creator>
  <cp:lastModifiedBy>Edward Tomczyk</cp:lastModifiedBy>
  <cp:revision>4</cp:revision>
  <dcterms:created xsi:type="dcterms:W3CDTF">2020-01-01T17:11:00Z</dcterms:created>
  <dcterms:modified xsi:type="dcterms:W3CDTF">2020-01-01T17:47:00Z</dcterms:modified>
</cp:coreProperties>
</file>