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961"/>
        <w:gridCol w:w="961"/>
        <w:gridCol w:w="962"/>
        <w:gridCol w:w="961"/>
        <w:gridCol w:w="961"/>
        <w:gridCol w:w="961"/>
        <w:gridCol w:w="970"/>
        <w:gridCol w:w="969"/>
        <w:gridCol w:w="969"/>
      </w:tblGrid>
      <w:tr w:rsidR="00D26A5F" w:rsidTr="00D26A5F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0</wp:posOffset>
                  </wp:positionV>
                  <wp:extent cx="1676400" cy="485775"/>
                  <wp:effectExtent l="0" t="0" r="0" b="9525"/>
                  <wp:wrapNone/>
                  <wp:docPr id="5323" name="Obraz 5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26A5F">
              <w:trPr>
                <w:trHeight w:val="5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A5F" w:rsidRDefault="00D26A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26A5F" w:rsidRDefault="00D26A5F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A5F" w:rsidTr="00D26A5F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2016-12-20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A5F" w:rsidTr="00D26A5F">
        <w:trPr>
          <w:trHeight w:val="5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A5F" w:rsidTr="00D26A5F">
        <w:trPr>
          <w:trHeight w:val="90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6A5F" w:rsidTr="00D26A5F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OFERTA UBEZPIECZENIA NASTĘPSTW NIESZCZĘŚLIWYCH WYPADKÓW </w:t>
            </w:r>
          </w:p>
        </w:tc>
      </w:tr>
      <w:tr w:rsidR="00D26A5F" w:rsidTr="00D26A5F">
        <w:trPr>
          <w:trHeight w:val="9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26A5F" w:rsidTr="00D26A5F">
        <w:trPr>
          <w:trHeight w:val="375"/>
        </w:trPr>
        <w:tc>
          <w:tcPr>
            <w:tcW w:w="0" w:type="auto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D26A5F" w:rsidTr="00D26A5F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Ubezpieczający: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WMILWET</w:t>
            </w:r>
          </w:p>
        </w:tc>
      </w:tr>
      <w:tr w:rsidR="00D26A5F" w:rsidTr="00D26A5F">
        <w:trPr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 Ubezpieczeni: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A5F" w:rsidTr="00D26A5F">
        <w:trPr>
          <w:trHeight w:val="24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3a. Ogólna liczba osób objętych ubezpieczeniem: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</w:t>
            </w:r>
          </w:p>
        </w:tc>
      </w:tr>
      <w:tr w:rsidR="00D26A5F" w:rsidTr="00D26A5F">
        <w:trPr>
          <w:trHeight w:val="2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3b. Minimalna liczba osób ubezpieczonych na dzień zawarcia umowy*: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</w:t>
            </w:r>
          </w:p>
        </w:tc>
      </w:tr>
      <w:tr w:rsidR="00D26A5F" w:rsidTr="00D26A5F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Forma ubezpieczenia: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imienna</w:t>
            </w:r>
          </w:p>
        </w:tc>
      </w:tr>
      <w:tr w:rsidR="00D26A5F" w:rsidTr="00D26A5F">
        <w:trPr>
          <w:trHeight w:val="24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Przedmiot i Zakres Ubezpieczenia: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A5F" w:rsidTr="00D26A5F">
        <w:trPr>
          <w:trHeight w:val="45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5.1. Zakres pełny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ochrona ubezpieczeniowa obejmująca świadczenia związane z następstwami nieszczęśliwych wypadków, jakim może ulec Ubezpieczony przy wykonywaniu czynności zawodowych (szkolnych) i w życiu prywatnym – 24 godziny na dobę, na całym świecie. </w:t>
            </w:r>
          </w:p>
        </w:tc>
      </w:tr>
      <w:tr w:rsidR="00D26A5F" w:rsidTr="00D26A5F">
        <w:trPr>
          <w:trHeight w:val="88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5.2.System świadczeń proporcjonalnych </w:t>
            </w:r>
            <w:r>
              <w:rPr>
                <w:rFonts w:ascii="Arial" w:hAnsi="Arial" w:cs="Arial"/>
                <w:sz w:val="18"/>
                <w:szCs w:val="18"/>
              </w:rPr>
              <w:t xml:space="preserve">– świadczenie zostanie wypłacone na podstawie obowiązującej w Allianz Polska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Tabeli oceny procentowej trwałego uszczerbku na zdrowiu wskutek nieszczęśliwego wypadku</w:t>
            </w:r>
            <w:r>
              <w:rPr>
                <w:rFonts w:ascii="Arial" w:hAnsi="Arial" w:cs="Arial"/>
                <w:sz w:val="18"/>
                <w:szCs w:val="18"/>
              </w:rPr>
              <w:t xml:space="preserve"> w takim procencie sumy ubezpieczenia na wypadek trwałego uszczerbku na zdrowiu, w jakim Ubezpieczony doznał trwałego uszczerbku na zdrowiu, maksymalnie jednak do wysokości sumy określonej w umowie ubezpieczenia.</w:t>
            </w:r>
          </w:p>
        </w:tc>
      </w:tr>
      <w:tr w:rsidR="00D26A5F" w:rsidTr="00D26A5F">
        <w:trPr>
          <w:trHeight w:val="2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Okres ubezpieczenia: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rok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A5F" w:rsidTr="00D26A5F">
        <w:trPr>
          <w:trHeight w:val="2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 Zakres świadczeń (zł):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A5F" w:rsidTr="00D26A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A5F" w:rsidTr="00D26A5F">
        <w:trPr>
          <w:trHeight w:val="285"/>
        </w:trPr>
        <w:tc>
          <w:tcPr>
            <w:tcW w:w="2880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18"/>
              </w:rPr>
              <w:t>Świadczenia  - GRUPA 1</w:t>
            </w:r>
          </w:p>
        </w:tc>
        <w:tc>
          <w:tcPr>
            <w:tcW w:w="960" w:type="dxa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18"/>
              </w:rPr>
              <w:t>Osoba dorosła (A)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18"/>
              </w:rPr>
              <w:t>Sumy ubezpieczenia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Świadczenie na wypadek trwałego uszczerbku na zdrowiu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30 000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Podwójne świadczenie na wypadek trwałego uszczerbku na zdrowiu  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60 000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Świadczenie na wypadek śmierci w wyniku NW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15 000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Przeszkolenie zawodowe inwalidów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5 000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Zawał serca albo udar mózgu dla osób poniżej 30. roku życia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5 000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18"/>
              </w:rPr>
              <w:t xml:space="preserve"> Świadczenia opiekuńcze na terenie Rzeczypospolitej Polskiej </w:t>
            </w:r>
          </w:p>
        </w:tc>
        <w:tc>
          <w:tcPr>
            <w:tcW w:w="2880" w:type="dxa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18"/>
              </w:rPr>
              <w:t>limity: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Wizyta lekarza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500   </w:t>
            </w:r>
          </w:p>
        </w:tc>
      </w:tr>
      <w:tr w:rsidR="00D26A5F" w:rsidTr="00D26A5F">
        <w:trPr>
          <w:trHeight w:val="360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Wizyta pielęgniarki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Dostarczenie do miejsca pobytu leków zaordynowanych przez lekarza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  </w:t>
            </w:r>
          </w:p>
        </w:tc>
      </w:tr>
      <w:tr w:rsidR="00D26A5F" w:rsidTr="00D26A5F">
        <w:trPr>
          <w:trHeight w:val="49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 medyczny z osobą bliską z miejsca zachorowania lub wypadku do odpowiedniej placówki medycznej wskazanej przez lekarza prowadzącego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1 000   </w:t>
            </w:r>
          </w:p>
        </w:tc>
      </w:tr>
      <w:tr w:rsidR="00D26A5F" w:rsidTr="00D26A5F">
        <w:trPr>
          <w:trHeight w:val="49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 medyczny z osobą bliską z placówki medycznej do miejsca zamieszkania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1 000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Transport medyczny z osobą bliską z placówki medycznej do placówki medycznej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Organizacja procesu rehabilitacyjnego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700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Organizacja wypożyczenia albo zakupu sprzętu rehabilitacyjnego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Pomoc domowa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Opieka nad dziećmi i osobami niesamodzielnymi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450   </w:t>
            </w:r>
          </w:p>
        </w:tc>
      </w:tr>
      <w:tr w:rsidR="00D26A5F" w:rsidTr="00D26A5F">
        <w:trPr>
          <w:trHeight w:val="49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Opieka nad dziećmi i osobami niesamodzielnymi w razie ich nagłego zachorowania lub nieszczęśliwego wypadku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Organizacja prywatnych lekcji dla dziecka Ubezpieczonego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Organizacja pobytu opiekuna prawnego w szpitalu w razie hospitalizacji dziecka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Opieka pielęgniarki po hospitalizacji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1 500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Pomocy medycznej za granicą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 euro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Opieka nad zwierzętami domowymi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Opieka psychologa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500   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Zdrowotne usługi informacyjne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usługi</w:t>
            </w:r>
          </w:p>
        </w:tc>
      </w:tr>
      <w:tr w:rsidR="00D26A5F" w:rsidTr="00D26A5F">
        <w:trPr>
          <w:trHeight w:val="285"/>
        </w:trPr>
        <w:tc>
          <w:tcPr>
            <w:tcW w:w="6720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Infolinia "Baby Assistance"</w:t>
            </w:r>
          </w:p>
        </w:tc>
        <w:tc>
          <w:tcPr>
            <w:tcW w:w="0" w:type="auto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usługi</w:t>
            </w:r>
          </w:p>
        </w:tc>
      </w:tr>
      <w:tr w:rsidR="00D26A5F" w:rsidTr="00D26A5F">
        <w:trPr>
          <w:trHeight w:val="285"/>
        </w:trPr>
        <w:tc>
          <w:tcPr>
            <w:tcW w:w="2880" w:type="dxa"/>
            <w:gridSpan w:val="3"/>
            <w:tcBorders>
              <w:top w:val="double" w:sz="6" w:space="0" w:color="0000FF"/>
              <w:left w:val="double" w:sz="6" w:space="0" w:color="0000FF"/>
              <w:bottom w:val="double" w:sz="6" w:space="0" w:color="0000FF"/>
              <w:right w:val="nil"/>
            </w:tcBorders>
            <w:shd w:val="clear" w:color="auto" w:fill="auto"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SKŁADKA ROCZNA za osobę</w:t>
            </w:r>
          </w:p>
        </w:tc>
        <w:tc>
          <w:tcPr>
            <w:tcW w:w="0" w:type="auto"/>
            <w:gridSpan w:val="4"/>
            <w:tcBorders>
              <w:top w:val="double" w:sz="6" w:space="0" w:color="0000FF"/>
              <w:left w:val="nil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(płatna rocznie)</w:t>
            </w:r>
          </w:p>
        </w:tc>
        <w:tc>
          <w:tcPr>
            <w:tcW w:w="0" w:type="auto"/>
            <w:gridSpan w:val="3"/>
            <w:tcBorders>
              <w:top w:val="double" w:sz="6" w:space="0" w:color="0000FF"/>
              <w:left w:val="nil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center"/>
            <w:hideMark/>
          </w:tcPr>
          <w:p w:rsidR="00D26A5F" w:rsidRDefault="00D26A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112,00   </w:t>
            </w:r>
          </w:p>
        </w:tc>
      </w:tr>
      <w:tr w:rsidR="00D26A5F" w:rsidTr="00D26A5F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A5F" w:rsidTr="00D26A5F">
        <w:trPr>
          <w:trHeight w:val="22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 Definicje: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6A5F" w:rsidTr="00D26A5F">
        <w:trPr>
          <w:trHeight w:val="81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Świadczenie na wypadek trwałego uszczerbku na zdrowiu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Jeżeli w wyniku nieszczęśliwego wypadku dojdzie do trwałego upośledzenia funkcji fizycznych (trwały uszczerbek na zdrowiu), Ubezpieczonemu przysługuje świadczenie na wypadek trwałego uszczerbku na zdrowiu. Świadczenie wypłacane jest w ramach systemu świadczeń proporcjonalnych lub systemu świadczeń stałych wybranego przez Ubezpieczającego w momencie podpisywania umowy.</w:t>
            </w:r>
          </w:p>
        </w:tc>
      </w:tr>
      <w:tr w:rsidR="00D26A5F" w:rsidTr="00D26A5F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6A5F" w:rsidTr="00D26A5F">
        <w:trPr>
          <w:trHeight w:val="61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Podwójne świadczenie na wypadek trwałego uszczerbku na zdrowiu </w:t>
            </w:r>
            <w:r>
              <w:rPr>
                <w:rFonts w:ascii="Arial" w:hAnsi="Arial" w:cs="Arial"/>
                <w:sz w:val="16"/>
                <w:szCs w:val="16"/>
              </w:rPr>
              <w:t xml:space="preserve">– jeżeli w wyniku nieszczęśliwego wypadku zostanie określone przynajmniej 90% trwałego uszczerbku na zdrowiu, Ubezpieczonemu przysługuje świadczenie na wypadek trwałego uszczerbku na zdrowiu naliczone od podwójnej sumy ubezpieczenia na wypadek trwałego uszczerbku na zdrowiu. </w:t>
            </w:r>
          </w:p>
        </w:tc>
      </w:tr>
      <w:tr w:rsidR="00D26A5F" w:rsidTr="00D26A5F">
        <w:trPr>
          <w:trHeight w:val="1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26A5F" w:rsidTr="00D26A5F">
        <w:trPr>
          <w:trHeight w:val="58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Przeszkolenie zawodowe inwalidów </w:t>
            </w:r>
            <w:r>
              <w:rPr>
                <w:rFonts w:ascii="Arial" w:hAnsi="Arial" w:cs="Arial"/>
                <w:sz w:val="16"/>
                <w:szCs w:val="16"/>
              </w:rPr>
              <w:t>– świadczenie jest wypłacane Ubezpieczonemu, w stosunku do którego odpowiedni organ rentowy orzekł celowość przekwalifikowania zawodowego ze względu na niezdolność do pracy w dotychczasowym zawodzie, o ile nie przysługuje Ubezpieczonemu zwrot kosztów przeszkolenia zawodowego.</w:t>
            </w:r>
          </w:p>
        </w:tc>
      </w:tr>
      <w:tr w:rsidR="00D26A5F" w:rsidTr="00D26A5F">
        <w:trPr>
          <w:trHeight w:val="1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26A5F" w:rsidTr="00D26A5F">
        <w:trPr>
          <w:trHeight w:val="126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Zawał serca albo udar mózgu dla osób poniżej 30. roku życia </w:t>
            </w:r>
            <w:r>
              <w:rPr>
                <w:rFonts w:ascii="Arial" w:hAnsi="Arial" w:cs="Arial"/>
                <w:sz w:val="16"/>
                <w:szCs w:val="16"/>
              </w:rPr>
              <w:t>– jeżeli w momencie zaistnienia zdarzenia Ubezpieczony nie ukończył 30. roku życia, to przysługuje mu świadczenie z tytułu wystąpienia zawału serca albo udaru mózgu. Allianz Polska wypłaci Ubezpieczonemu sumę określoną w umowie ubezpieczenia z tytułu jednej z wymienionych chorób, spełniającej definicje  o.w.u. NNW, jeżeli u Ubezpieczonego w okresie trwania ochrony ubezpieczeniowej wystąpi pierwszy w życiu zawał serca albo pierwszy w życiu udar mózgu, które wymagają hospitalizacji. Zawał serca albo udar mózgu w świetle o.w.u. NNW nie są uznawane za nieszczęśliwy wypadek.</w:t>
            </w:r>
          </w:p>
        </w:tc>
      </w:tr>
      <w:tr w:rsidR="00D26A5F" w:rsidTr="00D26A5F">
        <w:trPr>
          <w:trHeight w:val="1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6A5F" w:rsidTr="00D26A5F">
        <w:trPr>
          <w:trHeight w:val="37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Świadczenia opiekuńcze na terenie Rzeczypospolitej Polskiej</w:t>
            </w:r>
            <w:r>
              <w:rPr>
                <w:rFonts w:ascii="Arial" w:hAnsi="Arial" w:cs="Arial"/>
                <w:sz w:val="16"/>
                <w:szCs w:val="16"/>
              </w:rPr>
              <w:t xml:space="preserve"> – niezależnie od doznanego trwałego uszczerbku na zdrowiu, Allianz Polska gwarantuje świadczenia opiekuńcze na terenie RP.</w:t>
            </w:r>
          </w:p>
        </w:tc>
      </w:tr>
      <w:tr w:rsidR="00D26A5F" w:rsidTr="00D26A5F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6A5F" w:rsidTr="00D26A5F">
        <w:trPr>
          <w:trHeight w:val="22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 Warunki dodatkowe:</w:t>
            </w:r>
          </w:p>
        </w:tc>
      </w:tr>
      <w:tr w:rsidR="00D26A5F" w:rsidTr="00D26A5F">
        <w:trPr>
          <w:trHeight w:val="21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9.1.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Przedstawiona oferta ważna jest przez 30 dni od dnia jej wystawienia.</w:t>
            </w:r>
          </w:p>
        </w:tc>
      </w:tr>
      <w:tr w:rsidR="00D26A5F" w:rsidTr="00D26A5F">
        <w:trPr>
          <w:trHeight w:val="144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9.2.</w:t>
            </w:r>
            <w:r>
              <w:rPr>
                <w:rFonts w:ascii="Arial" w:hAnsi="Arial" w:cs="Arial"/>
                <w:sz w:val="16"/>
                <w:szCs w:val="16"/>
              </w:rPr>
              <w:t xml:space="preserve"> Do przedstawionej oferty mają zastosowanie: ogólne warunki grupowego ubezpieczenia następstw nieszczęśliwych wypadków o indeksie GNW01 przyjęte na mocy uchwały Zarządu TU Allianz Polska S.A. nr 3/2009 z dnia 8 stycznia 2009r. roku zmienionych  aneksem nr 1 zatwierdzonym uchwałą Zarządu TUiR Allianz Polska S.A. nr 78/2012  z  dnia 21 czerwca 2012 r.  obowiązującym od 28 czerwca 2012 r  oraz w przypadku systemu świadczeń proporcjonalnych Tabela oceny procentowej trwałego uszczerbku na zdrowiu wskutek nieszczęśliwego wypadku przyjęta na mocy uchwały Zarządu TU Allianz Polska S.A. nr 63/2006 z dnia 28 lipca 2006.</w:t>
            </w:r>
          </w:p>
        </w:tc>
      </w:tr>
      <w:tr w:rsidR="00D26A5F" w:rsidTr="00D26A5F">
        <w:trPr>
          <w:trHeight w:val="24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* w przypadku, gdy liczba osób ubezpieczonych będzie mniejsza  - składki mogą ulec zmianie. </w:t>
            </w:r>
          </w:p>
        </w:tc>
      </w:tr>
      <w:tr w:rsidR="00D26A5F" w:rsidTr="00D26A5F">
        <w:trPr>
          <w:trHeight w:val="24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wszystkie kwoty wyrażone są w złotych, chyba że zaznaczono inaczej.</w:t>
            </w:r>
          </w:p>
        </w:tc>
      </w:tr>
      <w:tr w:rsidR="00D26A5F" w:rsidTr="00D26A5F">
        <w:trPr>
          <w:trHeight w:val="16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6A5F" w:rsidTr="00D26A5F">
        <w:trPr>
          <w:trHeight w:val="34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poważaniem,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F" w:rsidTr="00D26A5F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 wpisz imię i nazwisko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6A5F" w:rsidTr="00D26A5F">
        <w:trPr>
          <w:trHeight w:val="2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 wpisz stanowisko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6A5F" w:rsidTr="00D26A5F">
        <w:trPr>
          <w:trHeight w:val="22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 wpisz nazwę oddziału/agencji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6A5F" w:rsidTr="00D26A5F">
        <w:trPr>
          <w:trHeight w:val="2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 tu wpisz numer telefonu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6A5F" w:rsidTr="00D26A5F">
        <w:trPr>
          <w:trHeight w:val="2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FAX: tu wpisz numer faksu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6A5F" w:rsidTr="00D26A5F">
        <w:trPr>
          <w:trHeight w:val="2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 tu wpisz adres e-mail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6A5F" w:rsidTr="00D26A5F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6A5F" w:rsidTr="00D26A5F">
        <w:trPr>
          <w:trHeight w:val="78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A5F" w:rsidRDefault="00D26A5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Towarzystwo Ubezpieczeń i Reasekuracji Allianz Polska Spółka Akcyjna z siedzibą w Warszawie, ul. Rodziny Hiszpańskich 1, 02-685 Warszawa, wpisana do rejestru przedsiębiorców prowadzonego przez Sąd Rejonowy dla m. st. Warszawy w Warszawie, XIII Wydział Gospodarczy Krajowego Rejestru Sądowego, pod numerem KRS: 0000028261, NIP 525-15-65-015, REGON  012267870, wysokość kapitału zakładowego: 356 630 000 złotych (wpłacony w całości).</w:t>
            </w:r>
          </w:p>
        </w:tc>
      </w:tr>
    </w:tbl>
    <w:p w:rsidR="000D5B46" w:rsidRDefault="000D5B46"/>
    <w:sectPr w:rsidR="000D5B46" w:rsidSect="00D26A5F">
      <w:pgSz w:w="11906" w:h="16838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73"/>
    <w:rsid w:val="000D5B46"/>
    <w:rsid w:val="00AA2973"/>
    <w:rsid w:val="00D2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c\AppData\Local\Microsoft\Windows\Temporary%20Internet%20Files\Content.IE5\1MS0POOR\nnw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nnw (1)</Template>
  <TotalTime>2</TotalTime>
  <Pages>3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</dc:creator>
  <cp:lastModifiedBy>slc</cp:lastModifiedBy>
  <cp:revision>1</cp:revision>
  <dcterms:created xsi:type="dcterms:W3CDTF">2017-01-02T08:23:00Z</dcterms:created>
  <dcterms:modified xsi:type="dcterms:W3CDTF">2017-01-02T08:50:00Z</dcterms:modified>
</cp:coreProperties>
</file>